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theme/theme1.xml" ContentType="application/vnd.openxmlformats-officedocument.theme+xml"/>
  <Override PartName="/word/numbering.xml" ContentType="application/vnd.openxmlformats-officedocument.wordprocessingml.numbering+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w:body>
    <w:p>
      <w:pPr>
        <w:rPr>
          <w:b/>
        </w:rPr>
      </w:pPr>
      <w:r>
        <w:rPr>
          <w:b/>
          <w:bCs/>
        </w:rPr>
        <w:t xml:space="preserve">Improvement of </w:t>
      </w:r>
      <w:r>
        <w:rPr>
          <w:b/>
          <w:bCs/>
        </w:rPr>
        <w:t>Crycopharyngeal</w:t>
      </w:r>
      <w:r>
        <w:rPr>
          <w:b/>
          <w:bCs/>
        </w:rPr>
        <w:t xml:space="preserve"> Dysfunction after Balloon Dilatation</w:t>
      </w:r>
    </w:p>
    <w:p>
      <w:pPr>
        <w:rPr>
          <w:rFonts w:hint="eastAsia"/>
        </w:rPr>
      </w:pPr>
    </w:p>
    <w:p>
      <w:pPr>
        <w:rPr>
          <w:rFonts w:hint="eastAsia"/>
          <w:bCs/>
          <w:vertAlign w:val="superscript"/>
        </w:rPr>
      </w:pPr>
      <w:r>
        <w:rPr>
          <w:rFonts w:hint="eastAsia"/>
        </w:rPr>
        <w:t xml:space="preserve">Sang </w:t>
      </w:r>
      <w:r>
        <w:rPr>
          <w:rFonts w:hint="eastAsia"/>
        </w:rPr>
        <w:t>Hee</w:t>
      </w:r>
      <w:r>
        <w:rPr>
          <w:rFonts w:hint="eastAsia"/>
        </w:rPr>
        <w:t xml:space="preserve"> </w:t>
      </w:r>
      <w:r>
        <w:rPr>
          <w:rFonts w:hint="eastAsia"/>
        </w:rPr>
        <w:t>Im</w:t>
      </w:r>
      <w:r>
        <w:rPr>
          <w:rFonts w:hint="eastAsia"/>
        </w:rPr>
        <w:t xml:space="preserve">, </w:t>
      </w:r>
      <w:r>
        <w:rPr>
          <w:lang w:eastAsia="ko-KR"/>
          <w:rFonts w:hint="eastAsia"/>
          <w:rtl w:val="off"/>
        </w:rPr>
        <w:t>Eun Young Han*</w:t>
      </w:r>
    </w:p>
    <w:p>
      <w:pPr>
        <w:rPr>
          <w:rFonts w:hint="eastAsia"/>
          <w:bCs/>
          <w:vertAlign w:val="superscript"/>
        </w:rPr>
      </w:pPr>
    </w:p>
    <w:p>
      <w:pPr>
        <w:rPr>
          <w:lang w:eastAsia="ko-KR"/>
          <w:rFonts w:hint="eastAsia"/>
          <w:bCs/>
          <w:rtl w:val="off"/>
        </w:rPr>
      </w:pPr>
      <w:r>
        <w:rPr>
          <w:rFonts w:hint="eastAsia"/>
          <w:bCs/>
        </w:rPr>
        <w:t>Department and Research Institute of Rehabilitation Medicine, Severance Hospital, Seoul, Korea</w:t>
      </w:r>
    </w:p>
    <w:p>
      <w:pPr/>
      <w:r>
        <w:rPr>
          <w:lang w:eastAsia="ko-KR"/>
          <w:rFonts w:hint="eastAsia"/>
          <w:bCs/>
          <w:rtl w:val="off"/>
        </w:rPr>
        <w:t xml:space="preserve">* </w:t>
      </w:r>
      <w:r>
        <w:rPr>
          <w:rFonts w:hint="eastAsia"/>
          <w:bCs/>
        </w:rPr>
        <w:t>Department of Rehabilitation Medicine</w:t>
      </w:r>
      <w:r>
        <w:rPr>
          <w:lang w:eastAsia="ko-KR"/>
          <w:rFonts w:hint="eastAsia"/>
          <w:bCs/>
          <w:rtl w:val="off"/>
        </w:rPr>
        <w:t>, Jeju National University School of Medicinem, Jeju, Korea</w:t>
      </w:r>
    </w:p>
    <w:p/>
    <w:p>
      <w:r>
        <w:rPr>
          <w:rFonts w:hint="eastAsia"/>
        </w:rPr>
        <w:t>Introduction</w:t>
      </w:r>
    </w:p>
    <w:p>
      <w:pPr>
        <w:numPr>
          <w:ilvl w:val="0"/>
          <w:numId w:val="1"/>
        </w:numPr>
      </w:pPr>
      <w:r>
        <w:t>Cricopharyngeal</w:t>
      </w:r>
      <w:r>
        <w:t xml:space="preserve"> dysfunction (CPD) has several treatment options such as </w:t>
      </w:r>
      <w:r>
        <w:t>botulinum</w:t>
      </w:r>
      <w:r>
        <w:t xml:space="preserve"> toxin injection, balloon dilatation and </w:t>
      </w:r>
      <w:r>
        <w:t>myotomy</w:t>
      </w:r>
      <w:r>
        <w:t xml:space="preserve"> of </w:t>
      </w:r>
      <w:r>
        <w:t>crycopharyngeus</w:t>
      </w:r>
      <w:r>
        <w:t xml:space="preserve"> muscle (CPM). </w:t>
      </w:r>
    </w:p>
    <w:p>
      <w:pPr>
        <w:numPr>
          <w:ilvl w:val="0"/>
          <w:numId w:val="1"/>
        </w:numPr>
      </w:pPr>
      <w:r>
        <w:t xml:space="preserve">Balloon dilatation has several advantages as it is less invasive and easy to perform under </w:t>
      </w:r>
      <w:r>
        <w:t>videofluoroscopy</w:t>
      </w:r>
      <w:r>
        <w:t xml:space="preserve"> guide. </w:t>
      </w:r>
    </w:p>
    <w:p>
      <w:pPr>
        <w:numPr>
          <w:ilvl w:val="0"/>
          <w:numId w:val="1"/>
        </w:numPr>
      </w:pPr>
      <w:r>
        <w:t xml:space="preserve">A few reports of balloon dilatation have demonstrated successful treatment effect of </w:t>
      </w:r>
      <w:r>
        <w:t>CPD,</w:t>
      </w:r>
      <w:r>
        <w:t xml:space="preserve"> however none of the studies elucidated the mechanism of improvement. </w:t>
      </w:r>
    </w:p>
    <w:p>
      <w:pPr>
        <w:numPr>
          <w:ilvl w:val="0"/>
          <w:numId w:val="1"/>
        </w:numPr>
      </w:pPr>
      <w:r>
        <w:t xml:space="preserve">This study aims to reveal physiologic changes of CPD after </w:t>
      </w:r>
      <w:r>
        <w:t>videofluoroscopy</w:t>
      </w:r>
      <w:r>
        <w:t xml:space="preserve">-guided balloon dilatation by high resolution </w:t>
      </w:r>
      <w:r>
        <w:t>manometry</w:t>
      </w:r>
      <w:r>
        <w:t xml:space="preserve"> (HRM), through a case report of a 44-year-old TBI patient who developed dysphagia with CPD, which was treated using </w:t>
      </w:r>
      <w:r>
        <w:t>videofluoroscopy</w:t>
      </w:r>
      <w:r>
        <w:t xml:space="preserve">-guided balloon dilatation. </w:t>
      </w:r>
    </w:p>
    <w:p>
      <w:r>
        <w:rPr>
          <w:rFonts w:hint="eastAsia"/>
        </w:rPr>
        <w:t>Case report</w:t>
      </w:r>
    </w:p>
    <w:p>
      <w:pPr>
        <w:numPr>
          <w:ilvl w:val="0"/>
          <w:numId w:val="2"/>
        </w:numPr>
      </w:pPr>
      <w:r>
        <w:t xml:space="preserve">A 44-year-old male developed dysphagia with CPD after large epidural hemorrhage in the left brain hemisphere concurrent with diffuse axonal injury. He was transferred to the department of rehabilitation medicine at 10 weeks after the traffic accident. </w:t>
      </w:r>
    </w:p>
    <w:p>
      <w:pPr>
        <w:numPr>
          <w:ilvl w:val="0"/>
          <w:numId w:val="2"/>
        </w:numPr>
      </w:pPr>
      <w:r>
        <w:t xml:space="preserve">Dysphagia with CPD was manifested on </w:t>
      </w:r>
      <w:r>
        <w:t>videofluoroscopy</w:t>
      </w:r>
      <w:r>
        <w:t xml:space="preserve"> swallow study (VFSS) (Fig. 1.) and </w:t>
      </w:r>
      <w:r>
        <w:t>videofluoroscopy</w:t>
      </w:r>
      <w:r>
        <w:t>-guided balloon dilatation was conducted for the first time.</w:t>
      </w:r>
    </w:p>
    <w:p>
      <w:pPr>
        <w:numPr>
          <w:ilvl w:val="0"/>
          <w:numId w:val="2"/>
        </w:numPr>
      </w:pPr>
      <w:r>
        <w:t xml:space="preserve">Repetitive dilatation procedures were performed at 1, 4, 7, 27 and 38 weeks after the first intervention and the successive physiological changes were observed using high resolution </w:t>
      </w:r>
      <w:r>
        <w:t>manometry</w:t>
      </w:r>
      <w:r>
        <w:t xml:space="preserve"> (INSIGHT HRM; </w:t>
      </w:r>
      <w:r>
        <w:t>Sandhill</w:t>
      </w:r>
      <w:r>
        <w:t xml:space="preserve"> Scientific Inc., High lands Ranch, Co, USA). </w:t>
      </w:r>
    </w:p>
    <w:p>
      <w:pPr>
        <w:numPr>
          <w:ilvl w:val="0"/>
          <w:numId w:val="2"/>
        </w:numPr>
      </w:pPr>
      <w:r>
        <w:t xml:space="preserve">Collected data include ratio of normal shape of UES nadir (Fig. 2.), pressure and duration </w:t>
      </w:r>
      <w:r>
        <w:t xml:space="preserve">of UES nadir from HRM, and </w:t>
      </w:r>
      <w:r>
        <w:t>Rosenbeck</w:t>
      </w:r>
      <w:r>
        <w:t xml:space="preserve"> penetration aspiration score (</w:t>
      </w:r>
      <w:r>
        <w:t>Rosenbeck</w:t>
      </w:r>
      <w:r>
        <w:t xml:space="preserve"> PAS) from VFSS. </w:t>
      </w:r>
    </w:p>
    <w:p>
      <w:pPr>
        <w:numPr>
          <w:ilvl w:val="0"/>
          <w:numId w:val="2"/>
        </w:numPr>
      </w:pPr>
      <w:r>
        <w:t>After the first and second interventions, definite changes of UES nadir shape and pressure were noted, however no significant changes on HRM were observed from the consecutive third to sixth interventions.</w:t>
      </w:r>
    </w:p>
    <w:p>
      <w:pPr>
        <w:numPr>
          <w:ilvl w:val="0"/>
          <w:numId w:val="2"/>
        </w:numPr>
      </w:pPr>
      <w:r>
        <w:t xml:space="preserve">After the second intervention, aspiration was not observed. (PAS score changed from 8 to 3) </w:t>
      </w:r>
    </w:p>
    <w:p>
      <w:pPr>
        <w:numPr>
          <w:ilvl w:val="0"/>
          <w:numId w:val="2"/>
        </w:numPr>
      </w:pPr>
      <w:r>
        <w:t>In short, VFSS results correlated with the changes on HRM after first and second intervention.  (Table 1.)</w:t>
      </w:r>
    </w:p>
    <w:p>
      <w:r>
        <w:rPr>
          <w:rFonts w:hint="eastAsia"/>
        </w:rPr>
        <w:t>Conclusions</w:t>
      </w:r>
    </w:p>
    <w:p>
      <w:pPr>
        <w:numPr>
          <w:ilvl w:val="0"/>
          <w:numId w:val="3"/>
        </w:numPr>
      </w:pPr>
      <w:r>
        <w:t>Videofluoroscopy</w:t>
      </w:r>
      <w:r>
        <w:t>-guided balloon dilatation intervention was successful in normalizing the abnormal UES opening pressure in a patient with CPD in long-term follow-up.</w:t>
      </w:r>
    </w:p>
    <w:p>
      <w:pPr>
        <w:numPr>
          <w:ilvl w:val="0"/>
          <w:numId w:val="3"/>
        </w:numPr>
      </w:pPr>
      <w:r>
        <w:t xml:space="preserve">This case report supports the early application of ballooning dilatation for CPD to be more effective in recent onset patients. </w:t>
      </w:r>
    </w:p>
    <w:p>
      <w:r>
        <w:t>In the future, study elucidating the physiology of therapeutic effect of balloon dilatation for CPD with more patients is needed</w:t>
      </w:r>
    </w:p>
    <w:sectPr>
      <w:pgSz w:w="11906" w:h="16838"/>
      <w:pgMar w:top="1701" w:right="1440" w:bottom="1440" w:left="1440" w:header="851" w:footer="992" w:gutter="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w:font w:name="Arial">
    <w:panose1 w:val="020B0604020202020204"/>
    <w:family w:val="swiss"/>
    <w:charset w:val="00"/>
    <w:notTrueType w:val="false"/>
    <w:sig w:usb0="E0002EFF" w:usb1="C000785B" w:usb2="00000009" w:usb3="00000001" w:csb0="400001FF" w:csb1="FFFF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14="http://schemas.microsoft.com/office/word/2010/wordml" xmlns:wne="http://schemas.microsoft.com/office/word/2006/wordml">
  <w:abstractNum w:abstractNumId="0">
    <w:nsid w:val="4e1e13c6"/>
    <w:multiLevelType w:val="hybridMultilevel"/>
    <w:tmpl w:val="a044c7de"/>
    <w:lvl w:ilvl="0" w:tplc="4db22f70">
      <w:start w:val="1"/>
      <w:numFmt w:val="bullet"/>
      <w:lvlText w:val="•"/>
      <w:lvlJc w:val="left"/>
      <w:pPr>
        <w:ind w:left="720" w:hanging="360"/>
        <w:tabs>
          <w:tab w:val="num" w:pos="720"/>
        </w:tabs>
      </w:pPr>
      <w:rPr>
        <w:rFonts w:ascii="Arial" w:hAnsi="Arial" w:hint="default"/>
      </w:rPr>
    </w:lvl>
    <w:lvl w:ilvl="1" w:tentative="on" w:tplc="333e46f2">
      <w:start w:val="1"/>
      <w:numFmt w:val="bullet"/>
      <w:lvlText w:val="•"/>
      <w:lvlJc w:val="left"/>
      <w:pPr>
        <w:ind w:left="1440" w:hanging="360"/>
        <w:tabs>
          <w:tab w:val="num" w:pos="1440"/>
        </w:tabs>
      </w:pPr>
      <w:rPr>
        <w:rFonts w:ascii="Arial" w:hAnsi="Arial" w:hint="default"/>
      </w:rPr>
    </w:lvl>
    <w:lvl w:ilvl="2" w:tentative="on" w:tplc="32ecffdc">
      <w:start w:val="1"/>
      <w:numFmt w:val="bullet"/>
      <w:lvlText w:val="•"/>
      <w:lvlJc w:val="left"/>
      <w:pPr>
        <w:ind w:left="2160" w:hanging="360"/>
        <w:tabs>
          <w:tab w:val="num" w:pos="2160"/>
        </w:tabs>
      </w:pPr>
      <w:rPr>
        <w:rFonts w:ascii="Arial" w:hAnsi="Arial" w:hint="default"/>
      </w:rPr>
    </w:lvl>
    <w:lvl w:ilvl="3" w:tentative="on" w:tplc="46be3fe6">
      <w:start w:val="1"/>
      <w:numFmt w:val="bullet"/>
      <w:lvlText w:val="•"/>
      <w:lvlJc w:val="left"/>
      <w:pPr>
        <w:ind w:left="2880" w:hanging="360"/>
        <w:tabs>
          <w:tab w:val="num" w:pos="2880"/>
        </w:tabs>
      </w:pPr>
      <w:rPr>
        <w:rFonts w:ascii="Arial" w:hAnsi="Arial" w:hint="default"/>
      </w:rPr>
    </w:lvl>
    <w:lvl w:ilvl="4" w:tentative="on" w:tplc="b994d53e">
      <w:start w:val="1"/>
      <w:numFmt w:val="bullet"/>
      <w:lvlText w:val="•"/>
      <w:lvlJc w:val="left"/>
      <w:pPr>
        <w:ind w:left="3600" w:hanging="360"/>
        <w:tabs>
          <w:tab w:val="num" w:pos="3600"/>
        </w:tabs>
      </w:pPr>
      <w:rPr>
        <w:rFonts w:ascii="Arial" w:hAnsi="Arial" w:hint="default"/>
      </w:rPr>
    </w:lvl>
    <w:lvl w:ilvl="5" w:tentative="on" w:tplc="5d9c8c6a">
      <w:start w:val="1"/>
      <w:numFmt w:val="bullet"/>
      <w:lvlText w:val="•"/>
      <w:lvlJc w:val="left"/>
      <w:pPr>
        <w:ind w:left="4320" w:hanging="360"/>
        <w:tabs>
          <w:tab w:val="num" w:pos="4320"/>
        </w:tabs>
      </w:pPr>
      <w:rPr>
        <w:rFonts w:ascii="Arial" w:hAnsi="Arial" w:hint="default"/>
      </w:rPr>
    </w:lvl>
    <w:lvl w:ilvl="6" w:tentative="on" w:tplc="3c90c8ce">
      <w:start w:val="1"/>
      <w:numFmt w:val="bullet"/>
      <w:lvlText w:val="•"/>
      <w:lvlJc w:val="left"/>
      <w:pPr>
        <w:ind w:left="5040" w:hanging="360"/>
        <w:tabs>
          <w:tab w:val="num" w:pos="5040"/>
        </w:tabs>
      </w:pPr>
      <w:rPr>
        <w:rFonts w:ascii="Arial" w:hAnsi="Arial" w:hint="default"/>
      </w:rPr>
    </w:lvl>
    <w:lvl w:ilvl="7" w:tentative="on" w:tplc="3e62a79e">
      <w:start w:val="1"/>
      <w:numFmt w:val="bullet"/>
      <w:lvlText w:val="•"/>
      <w:lvlJc w:val="left"/>
      <w:pPr>
        <w:ind w:left="5760" w:hanging="360"/>
        <w:tabs>
          <w:tab w:val="num" w:pos="5760"/>
        </w:tabs>
      </w:pPr>
      <w:rPr>
        <w:rFonts w:ascii="Arial" w:hAnsi="Arial" w:hint="default"/>
      </w:rPr>
    </w:lvl>
    <w:lvl w:ilvl="8" w:tentative="on" w:tplc="b0e8044">
      <w:start w:val="1"/>
      <w:numFmt w:val="bullet"/>
      <w:lvlText w:val="•"/>
      <w:lvlJc w:val="left"/>
      <w:pPr>
        <w:ind w:left="6480" w:hanging="360"/>
        <w:tabs>
          <w:tab w:val="num" w:pos="6480"/>
        </w:tabs>
      </w:pPr>
      <w:rPr>
        <w:rFonts w:ascii="Arial" w:hAnsi="Arial" w:hint="default"/>
      </w:rPr>
    </w:lvl>
  </w:abstractNum>
  <w:abstractNum w:abstractNumId="1">
    <w:nsid w:val="71257449"/>
    <w:multiLevelType w:val="hybridMultilevel"/>
    <w:tmpl w:val="ca1070da"/>
    <w:lvl w:ilvl="0" w:tplc="bbecc10a">
      <w:start w:val="1"/>
      <w:numFmt w:val="bullet"/>
      <w:lvlText w:val="•"/>
      <w:lvlJc w:val="left"/>
      <w:pPr>
        <w:ind w:left="720" w:hanging="360"/>
        <w:tabs>
          <w:tab w:val="num" w:pos="720"/>
        </w:tabs>
      </w:pPr>
      <w:rPr>
        <w:rFonts w:ascii="Arial" w:hAnsi="Arial" w:hint="default"/>
      </w:rPr>
    </w:lvl>
    <w:lvl w:ilvl="1" w:tentative="on" w:tplc="10ba1336">
      <w:start w:val="1"/>
      <w:numFmt w:val="bullet"/>
      <w:lvlText w:val="•"/>
      <w:lvlJc w:val="left"/>
      <w:pPr>
        <w:ind w:left="1440" w:hanging="360"/>
        <w:tabs>
          <w:tab w:val="num" w:pos="1440"/>
        </w:tabs>
      </w:pPr>
      <w:rPr>
        <w:rFonts w:ascii="Arial" w:hAnsi="Arial" w:hint="default"/>
      </w:rPr>
    </w:lvl>
    <w:lvl w:ilvl="2" w:tentative="on" w:tplc="4356b9c8">
      <w:start w:val="1"/>
      <w:numFmt w:val="bullet"/>
      <w:lvlText w:val="•"/>
      <w:lvlJc w:val="left"/>
      <w:pPr>
        <w:ind w:left="2160" w:hanging="360"/>
        <w:tabs>
          <w:tab w:val="num" w:pos="2160"/>
        </w:tabs>
      </w:pPr>
      <w:rPr>
        <w:rFonts w:ascii="Arial" w:hAnsi="Arial" w:hint="default"/>
      </w:rPr>
    </w:lvl>
    <w:lvl w:ilvl="3" w:tentative="on" w:tplc="9d2e8106">
      <w:start w:val="1"/>
      <w:numFmt w:val="bullet"/>
      <w:lvlText w:val="•"/>
      <w:lvlJc w:val="left"/>
      <w:pPr>
        <w:ind w:left="2880" w:hanging="360"/>
        <w:tabs>
          <w:tab w:val="num" w:pos="2880"/>
        </w:tabs>
      </w:pPr>
      <w:rPr>
        <w:rFonts w:ascii="Arial" w:hAnsi="Arial" w:hint="default"/>
      </w:rPr>
    </w:lvl>
    <w:lvl w:ilvl="4" w:tentative="on" w:tplc="5ef65df0">
      <w:start w:val="1"/>
      <w:numFmt w:val="bullet"/>
      <w:lvlText w:val="•"/>
      <w:lvlJc w:val="left"/>
      <w:pPr>
        <w:ind w:left="3600" w:hanging="360"/>
        <w:tabs>
          <w:tab w:val="num" w:pos="3600"/>
        </w:tabs>
      </w:pPr>
      <w:rPr>
        <w:rFonts w:ascii="Arial" w:hAnsi="Arial" w:hint="default"/>
      </w:rPr>
    </w:lvl>
    <w:lvl w:ilvl="5" w:tentative="on" w:tplc="236e87d6">
      <w:start w:val="1"/>
      <w:numFmt w:val="bullet"/>
      <w:lvlText w:val="•"/>
      <w:lvlJc w:val="left"/>
      <w:pPr>
        <w:ind w:left="4320" w:hanging="360"/>
        <w:tabs>
          <w:tab w:val="num" w:pos="4320"/>
        </w:tabs>
      </w:pPr>
      <w:rPr>
        <w:rFonts w:ascii="Arial" w:hAnsi="Arial" w:hint="default"/>
      </w:rPr>
    </w:lvl>
    <w:lvl w:ilvl="6" w:tentative="on" w:tplc="c58035e4">
      <w:start w:val="1"/>
      <w:numFmt w:val="bullet"/>
      <w:lvlText w:val="•"/>
      <w:lvlJc w:val="left"/>
      <w:pPr>
        <w:ind w:left="5040" w:hanging="360"/>
        <w:tabs>
          <w:tab w:val="num" w:pos="5040"/>
        </w:tabs>
      </w:pPr>
      <w:rPr>
        <w:rFonts w:ascii="Arial" w:hAnsi="Arial" w:hint="default"/>
      </w:rPr>
    </w:lvl>
    <w:lvl w:ilvl="7" w:tentative="on" w:tplc="cec04f98">
      <w:start w:val="1"/>
      <w:numFmt w:val="bullet"/>
      <w:lvlText w:val="•"/>
      <w:lvlJc w:val="left"/>
      <w:pPr>
        <w:ind w:left="5760" w:hanging="360"/>
        <w:tabs>
          <w:tab w:val="num" w:pos="5760"/>
        </w:tabs>
      </w:pPr>
      <w:rPr>
        <w:rFonts w:ascii="Arial" w:hAnsi="Arial" w:hint="default"/>
      </w:rPr>
    </w:lvl>
    <w:lvl w:ilvl="8" w:tentative="on" w:tplc="e0304574">
      <w:start w:val="1"/>
      <w:numFmt w:val="bullet"/>
      <w:lvlText w:val="•"/>
      <w:lvlJc w:val="left"/>
      <w:pPr>
        <w:ind w:left="6480" w:hanging="360"/>
        <w:tabs>
          <w:tab w:val="num" w:pos="6480"/>
        </w:tabs>
      </w:pPr>
      <w:rPr>
        <w:rFonts w:ascii="Arial" w:hAnsi="Arial" w:hint="default"/>
      </w:rPr>
    </w:lvl>
  </w:abstractNum>
  <w:abstractNum w:abstractNumId="2">
    <w:nsid w:val="4ceb2bc7"/>
    <w:multiLevelType w:val="hybridMultilevel"/>
    <w:tmpl w:val="60121916"/>
    <w:lvl w:ilvl="0" w:tplc="aaf402e4">
      <w:start w:val="1"/>
      <w:numFmt w:val="bullet"/>
      <w:lvlText w:val="•"/>
      <w:lvlJc w:val="left"/>
      <w:pPr>
        <w:ind w:left="720" w:hanging="360"/>
        <w:tabs>
          <w:tab w:val="num" w:pos="720"/>
        </w:tabs>
      </w:pPr>
      <w:rPr>
        <w:rFonts w:ascii="Arial" w:hAnsi="Arial" w:hint="default"/>
      </w:rPr>
    </w:lvl>
    <w:lvl w:ilvl="1" w:tentative="on" w:tplc="6868c84a">
      <w:start w:val="1"/>
      <w:numFmt w:val="bullet"/>
      <w:lvlText w:val="•"/>
      <w:lvlJc w:val="left"/>
      <w:pPr>
        <w:ind w:left="1440" w:hanging="360"/>
        <w:tabs>
          <w:tab w:val="num" w:pos="1440"/>
        </w:tabs>
      </w:pPr>
      <w:rPr>
        <w:rFonts w:ascii="Arial" w:hAnsi="Arial" w:hint="default"/>
      </w:rPr>
    </w:lvl>
    <w:lvl w:ilvl="2" w:tentative="on" w:tplc="4a647514">
      <w:start w:val="1"/>
      <w:numFmt w:val="bullet"/>
      <w:lvlText w:val="•"/>
      <w:lvlJc w:val="left"/>
      <w:pPr>
        <w:ind w:left="2160" w:hanging="360"/>
        <w:tabs>
          <w:tab w:val="num" w:pos="2160"/>
        </w:tabs>
      </w:pPr>
      <w:rPr>
        <w:rFonts w:ascii="Arial" w:hAnsi="Arial" w:hint="default"/>
      </w:rPr>
    </w:lvl>
    <w:lvl w:ilvl="3" w:tentative="on" w:tplc="19c05138">
      <w:start w:val="1"/>
      <w:numFmt w:val="bullet"/>
      <w:lvlText w:val="•"/>
      <w:lvlJc w:val="left"/>
      <w:pPr>
        <w:ind w:left="2880" w:hanging="360"/>
        <w:tabs>
          <w:tab w:val="num" w:pos="2880"/>
        </w:tabs>
      </w:pPr>
      <w:rPr>
        <w:rFonts w:ascii="Arial" w:hAnsi="Arial" w:hint="default"/>
      </w:rPr>
    </w:lvl>
    <w:lvl w:ilvl="4" w:tentative="on" w:tplc="5fee9530">
      <w:start w:val="1"/>
      <w:numFmt w:val="bullet"/>
      <w:lvlText w:val="•"/>
      <w:lvlJc w:val="left"/>
      <w:pPr>
        <w:ind w:left="3600" w:hanging="360"/>
        <w:tabs>
          <w:tab w:val="num" w:pos="3600"/>
        </w:tabs>
      </w:pPr>
      <w:rPr>
        <w:rFonts w:ascii="Arial" w:hAnsi="Arial" w:hint="default"/>
      </w:rPr>
    </w:lvl>
    <w:lvl w:ilvl="5" w:tentative="on" w:tplc="d5222b8a">
      <w:start w:val="1"/>
      <w:numFmt w:val="bullet"/>
      <w:lvlText w:val="•"/>
      <w:lvlJc w:val="left"/>
      <w:pPr>
        <w:ind w:left="4320" w:hanging="360"/>
        <w:tabs>
          <w:tab w:val="num" w:pos="4320"/>
        </w:tabs>
      </w:pPr>
      <w:rPr>
        <w:rFonts w:ascii="Arial" w:hAnsi="Arial" w:hint="default"/>
      </w:rPr>
    </w:lvl>
    <w:lvl w:ilvl="6" w:tentative="on" w:tplc="d2e4eb28">
      <w:start w:val="1"/>
      <w:numFmt w:val="bullet"/>
      <w:lvlText w:val="•"/>
      <w:lvlJc w:val="left"/>
      <w:pPr>
        <w:ind w:left="5040" w:hanging="360"/>
        <w:tabs>
          <w:tab w:val="num" w:pos="5040"/>
        </w:tabs>
      </w:pPr>
      <w:rPr>
        <w:rFonts w:ascii="Arial" w:hAnsi="Arial" w:hint="default"/>
      </w:rPr>
    </w:lvl>
    <w:lvl w:ilvl="7" w:tentative="on" w:tplc="a245362">
      <w:start w:val="1"/>
      <w:numFmt w:val="bullet"/>
      <w:lvlText w:val="•"/>
      <w:lvlJc w:val="left"/>
      <w:pPr>
        <w:ind w:left="5760" w:hanging="360"/>
        <w:tabs>
          <w:tab w:val="num" w:pos="5760"/>
        </w:tabs>
      </w:pPr>
      <w:rPr>
        <w:rFonts w:ascii="Arial" w:hAnsi="Arial" w:hint="default"/>
      </w:rPr>
    </w:lvl>
    <w:lvl w:ilvl="8" w:tentative="on" w:tplc="4f189bf4">
      <w:start w:val="1"/>
      <w:numFmt w:val="bullet"/>
      <w:lvlText w:val="•"/>
      <w:lvlJc w:val="left"/>
      <w:pPr>
        <w:ind w:left="6480" w:hanging="360"/>
        <w:tabs>
          <w:tab w:val="num" w:pos="6480"/>
        </w:tabs>
      </w:pPr>
      <w:rPr>
        <w:rFonts w:ascii="Arial" w:hAnsi="Arial"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w:zoom w:percent="114"/>
  <w:removePersonalInformation/>
  <w:bordersDontSurroundHeader/>
  <w:bordersDontSurroundFooter/>
  <w:hideGrammaticalErrors/>
  <w:proofState w:spelling="clean" w:grammar="clean"/>
  <w:defaultTabStop w:val="800"/>
  <w:hyphenationZone w:val="360"/>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rawingGridHorizontalSpacing w:val="180"/>
  <w:drawingGridVerticalSpacing w:val="180"/>
  <w:displayHorizontalDrawingGridEvery w:val="1"/>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val="1"/>
    <m:lMargin m:val="0"/>
    <m:rMargin m:val="0"/>
    <m:defJc m:val="centerGroup"/>
    <m:wrapIndent m:val="1440"/>
    <m:wrapRight m:val="0"/>
    <m:intLim m:val="subSup"/>
    <m:naryLim m:val="undOvr"/>
    <m:interSp m:val="0"/>
    <m:intraSp m:val="0"/>
    <m:preSp m:val="0"/>
    <m:postSp m:val="0"/>
  </m:mathPr>
  <w:themeFontLang w:val="en-US" w:eastAsia="ko-KR" w:bidi="ar-SA"/>
</w:settings>
</file>

<file path=word/styles.xml><?xml version="1.0" encoding="utf-8"?>
<w:styles xmlns:r="http://schemas.openxmlformats.org/officeDocument/2006/relationships" xmlns:w="http://schemas.openxmlformats.org/wordprocessingml/2006/main">
  <w:docDefaults>
    <w:rPrDefault>
      <w:rPr>
        <w:lang w:val="en-US" w:eastAsia="ko-KR" w:bidi="ar-SA"/>
        <w:rFonts w:asciiTheme="minorHAnsi" w:eastAsiaTheme="minorEastAsia" w:hAnsiTheme="minorHAnsi" w:cstheme="minorBidi"/>
        <w:szCs w:val="22"/>
        <w:kern w:val="2"/>
      </w:rPr>
    </w:rPrDefault>
    <w:pPrDefault>
      <w:pPr>
        <w:jc w:val="both"/>
        <w:spacing w:after="200" w:line="276" w:lineRule="auto"/>
      </w:pPr>
    </w:pPrDefault>
  </w:docDefaults>
  <w:style w:type="paragraph" w:default="1" w:styleId="a1">
    <w:name w:val="Normal"/>
    <w:qFormat/>
    <w:pPr>
      <w:autoSpaceDE w:val="off"/>
      <w:autoSpaceDN w:val="off"/>
      <w:widowControl w:val="off"/>
      <w:wordWrap w:val="off"/>
    </w:pPr>
  </w:style>
  <w:style w:type="character" w:default="1" w:styleId="a2">
    <w:name w:val="Default Paragraph Font"/>
    <w:unhideWhenUsed/>
  </w:style>
  <w:style w:type="table" w:default="1" w:styleId="a3">
    <w:name w:val="Normal Table"/>
    <w:semiHidden/>
    <w:unhideWhenUsed/>
    <w:tblPr>
      <w:tblInd w:w="0" w:type="dxa"/>
      <w:tblCellMar>
        <w:top w:w="0" w:type="dxa"/>
        <w:left w:w="108" w:type="dxa"/>
        <w:bottom w:w="0" w:type="dxa"/>
        <w:right w:w="108" w:type="dxa"/>
      </w:tblCellMar>
    </w:tblPr>
  </w:style>
  <w:style w:type="numbering" w:default="1" w:styleId="a4">
    <w:name w:val="No List"/>
    <w:semiHidden/>
    <w:unhideWhenUsed/>
  </w:style>
  <w:style w:type="paragraph" w:styleId="afe">
    <w:name w:val="header"/>
    <w:basedOn w:val="a1"/>
    <w:link w:val="머리글 Char"/>
    <w:unhideWhenUsed/>
    <w:pPr>
      <w:snapToGrid w:val="0"/>
      <w:tabs>
        <w:tab w:val="center" w:pos="4513"/>
        <w:tab w:val="right" w:pos="9026"/>
      </w:tabs>
    </w:pPr>
  </w:style>
  <w:style w:type="paragraph" w:styleId="aff8">
    <w:name w:val="footer"/>
    <w:basedOn w:val="a1"/>
    <w:link w:val="바닥글 Char"/>
    <w:unhideWhenUsed/>
    <w:pPr>
      <w:snapToGrid w:val="0"/>
      <w:tabs>
        <w:tab w:val="center" w:pos="4513"/>
        <w:tab w:val="right" w:pos="9026"/>
      </w:tabs>
    </w:pPr>
  </w:style>
  <w:style w:type="numbering" w:styleId="a4">
    <w:name w:val="No List"/>
    <w:semiHidden/>
    <w:unhideWhenUsed/>
  </w:style>
  <w:style w:type="character" w:styleId="a2">
    <w:name w:val="Default Paragraph Font"/>
    <w:unhideWhenUsed/>
  </w:style>
  <w:style w:type="table" w:styleId="a3">
    <w:name w:val="Normal Table"/>
    <w:semiHidden/>
    <w:unhideWhenUsed/>
    <w:tblPr>
      <w:tblInd w:w="0" w:type="dxa"/>
      <w:tblCellMar>
        <w:top w:w="0" w:type="dxa"/>
        <w:left w:w="108" w:type="dxa"/>
        <w:bottom w:w="0" w:type="dxa"/>
        <w:right w:w="108" w:type="dxa"/>
      </w:tblCellMar>
    </w:tblPr>
  </w:style>
  <w:style w:type="paragraph" w:styleId="a1">
    <w:name w:val="Normal"/>
    <w:qFormat/>
    <w:pPr>
      <w:autoSpaceDE w:val="off"/>
      <w:autoSpaceDN w:val="off"/>
      <w:widowControl w:val="off"/>
      <w:wordWrap w:val="off"/>
    </w:pPr>
  </w:style>
  <w:style w:type="character" w:customStyle="1" w:styleId="Char9">
    <w:name w:val="머리글 Char"/>
    <w:basedOn w:val="a2"/>
    <w:link w:val="header"/>
  </w:style>
  <w:style w:type="character" w:customStyle="1" w:styleId="Charf">
    <w:name w:val="바닥글 Char"/>
    <w:basedOn w:val="a2"/>
    <w:link w:val="foote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numbering" Target="numbering.xml" /><Relationship Id="rId6" Type="http://schemas.openxmlformats.org/officeDocument/2006/relationships/theme" Target="theme/theme1.xml" /></Relationships>
</file>

<file path=word/theme/theme1.xml><?xml version="1.0" encoding="utf-8"?>
<a:theme xmlns:a="http://schemas.openxmlformats.org/drawingml/2006/main" name="Office 테마">
  <a:themeElements>
    <a:clrScheme name="Office">
      <a:dk1>
        <a:sysClr lastClr="000000" val="windowText"/>
      </a:dk1>
      <a:lt1>
        <a:sysClr lastClr="FFFFFF" val="window"/>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a:solidFill>
            <a:schemeClr val="phClr">
              <a:shade val="95000"/>
              <a:satMod val="104999"/>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Word</Application>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ISH2018</dc:creator>
  <cp:keywords/>
  <dc:description/>
  <cp:lastModifiedBy>ISH2018</cp:lastModifiedBy>
  <cp:revision>1</cp:revision>
  <dcterms:created xsi:type="dcterms:W3CDTF">2018-12-24T08:50:00Z</dcterms:created>
  <dcterms:modified xsi:type="dcterms:W3CDTF">2019-02-12T23:54:09Z</dcterms:modified>
  <cp:version>0900.0001.01</cp:version>
</cp:coreProperties>
</file>