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0A7BD4" w:rsidP="00494130">
      <w:pPr>
        <w:pStyle w:val="Heading1"/>
        <w:spacing w:before="170"/>
        <w:ind w:left="0"/>
      </w:pPr>
      <w:r>
        <w:rPr>
          <w:color w:val="337AB7"/>
        </w:rPr>
        <w:t xml:space="preserve">Clinical profile and treatment response of </w:t>
      </w:r>
      <w:proofErr w:type="spellStart"/>
      <w:r>
        <w:rPr>
          <w:color w:val="337AB7"/>
        </w:rPr>
        <w:t>hypermanganesemia</w:t>
      </w:r>
      <w:proofErr w:type="spellEnd"/>
      <w:r>
        <w:rPr>
          <w:color w:val="337AB7"/>
        </w:rPr>
        <w:t xml:space="preserve"> with dystonia, polycythemia and cirrhosis in a rural Indian family</w:t>
      </w:r>
    </w:p>
    <w:p w:rsidR="005973B9" w:rsidRDefault="000A7BD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Arpan Dutta</w:t>
      </w:r>
      <w:r w:rsidR="00065718">
        <w:rPr>
          <w:rFonts w:ascii="Arial"/>
        </w:rPr>
        <w:t xml:space="preserve">, </w:t>
      </w:r>
      <w:proofErr w:type="spellStart"/>
      <w:r>
        <w:rPr>
          <w:rFonts w:ascii="Arial"/>
        </w:rPr>
        <w:t>Bangur</w:t>
      </w:r>
      <w:proofErr w:type="spellEnd"/>
      <w:r>
        <w:rPr>
          <w:rFonts w:ascii="Arial"/>
        </w:rPr>
        <w:t xml:space="preserve"> Institute of Neurosciences</w:t>
      </w:r>
      <w:r w:rsidR="005973B9">
        <w:rPr>
          <w:rFonts w:ascii="Arial"/>
        </w:rPr>
        <w:t xml:space="preserve">, </w:t>
      </w:r>
      <w:r>
        <w:rPr>
          <w:rFonts w:ascii="Arial"/>
        </w:rPr>
        <w:t>India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ED422F" w:rsidRDefault="00A9710C" w:rsidP="00ED422F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proofErr w:type="spellStart"/>
      <w:r w:rsidR="00F552ED">
        <w:t>Hypermanganesemia</w:t>
      </w:r>
      <w:proofErr w:type="spellEnd"/>
      <w:r w:rsidR="00F552ED">
        <w:t xml:space="preserve"> with dystonia, polycythemia and cirrhosis is a rare disease caused by mutations of SLC30A10 gene, resulting in accumulation of excess manganese </w:t>
      </w:r>
      <w:r w:rsidR="005808C3">
        <w:t>in brain, blood and liver.</w:t>
      </w:r>
      <w:r>
        <w:t xml:space="preserve"> </w:t>
      </w:r>
      <w:r w:rsidR="00E5306A">
        <w:t>Apart from dystonia</w:t>
      </w:r>
      <w:r w:rsidR="00056BBF">
        <w:t xml:space="preserve">, polycythemia and cirrhosis, </w:t>
      </w:r>
      <w:proofErr w:type="spellStart"/>
      <w:r w:rsidR="00056BBF">
        <w:t>parkinsonian</w:t>
      </w:r>
      <w:proofErr w:type="spellEnd"/>
      <w:r w:rsidR="00056BBF">
        <w:t xml:space="preserve"> features</w:t>
      </w:r>
      <w:r w:rsidR="00E5306A">
        <w:t xml:space="preserve"> may also be present in</w:t>
      </w:r>
      <w:r w:rsidR="00E85E3D">
        <w:t xml:space="preserve"> this l</w:t>
      </w:r>
      <w:r w:rsidR="00056BBF">
        <w:t xml:space="preserve">ife threatening but </w:t>
      </w:r>
      <w:r w:rsidR="00E85E3D">
        <w:t>treatable</w:t>
      </w:r>
      <w:r w:rsidR="00E5306A">
        <w:t xml:space="preserve"> disorder.</w:t>
      </w:r>
      <w:r w:rsidR="00E85E3D">
        <w:t xml:space="preserve"> </w:t>
      </w:r>
      <w:r w:rsidR="00E5306A">
        <w:t>Chelation with c</w:t>
      </w:r>
      <w:r w:rsidR="008B1AB5">
        <w:t>alcium di</w:t>
      </w:r>
      <w:r w:rsidR="00E5306A">
        <w:t>sodium EDTA</w:t>
      </w:r>
      <w:r w:rsidR="008B1AB5">
        <w:t xml:space="preserve"> combined with oral iron therapy and dietary manganese restriction</w:t>
      </w:r>
      <w:r w:rsidR="00E5306A">
        <w:t xml:space="preserve"> is the preferred </w:t>
      </w:r>
      <w:r w:rsidR="008B1AB5">
        <w:t>treatment modality. Alternative chelating agents include DMSA and d-</w:t>
      </w:r>
      <w:proofErr w:type="spellStart"/>
      <w:r w:rsidR="008B1AB5">
        <w:t>penicillamine</w:t>
      </w:r>
      <w:proofErr w:type="spellEnd"/>
      <w:r w:rsidR="00E5306A">
        <w:t xml:space="preserve">. </w:t>
      </w:r>
      <w:r w:rsidR="005808C3">
        <w:t>We hereby describe the clinical profile of 3 siblings who were diagnosed with this rare dis</w:t>
      </w:r>
      <w:r w:rsidR="00E5306A">
        <w:t>ease</w:t>
      </w:r>
      <w:r w:rsidR="00056BBF">
        <w:t xml:space="preserve"> and</w:t>
      </w:r>
      <w:r w:rsidR="005808C3">
        <w:t xml:space="preserve"> e</w:t>
      </w:r>
      <w:r w:rsidR="00056BBF">
        <w:t>xplore</w:t>
      </w:r>
      <w:r w:rsidR="005808C3">
        <w:t xml:space="preserve"> the treatment response to an alternative </w:t>
      </w:r>
      <w:r w:rsidR="00056BBF">
        <w:t>agent</w:t>
      </w:r>
      <w:r w:rsidR="008B1AB5">
        <w:t xml:space="preserve"> (d-</w:t>
      </w:r>
      <w:proofErr w:type="spellStart"/>
      <w:r w:rsidR="008B1AB5">
        <w:t>penicillamine</w:t>
      </w:r>
      <w:proofErr w:type="spellEnd"/>
      <w:r w:rsidR="008B1AB5">
        <w:t>)</w:t>
      </w:r>
      <w:r w:rsidR="002303D8">
        <w:t xml:space="preserve"> which is important in resource poor settings</w:t>
      </w:r>
      <w:r w:rsidR="008B1AB5">
        <w:t xml:space="preserve"> where calcium disodium EDTA is not available</w:t>
      </w:r>
      <w:r w:rsidR="002303D8">
        <w:t xml:space="preserve">. </w:t>
      </w:r>
      <w:r>
        <w:t>Methodolog</w:t>
      </w:r>
      <w:r w:rsidR="008756E6">
        <w:t xml:space="preserve">y &amp; Theoretical Orientation: </w:t>
      </w:r>
      <w:r w:rsidR="00056BBF">
        <w:t>C</w:t>
      </w:r>
      <w:r w:rsidR="002303D8">
        <w:t xml:space="preserve">linical findings </w:t>
      </w:r>
      <w:r w:rsidR="00E85E3D">
        <w:t xml:space="preserve">of the 3 siblings were documented and relevant investigations e.g. complete </w:t>
      </w:r>
      <w:proofErr w:type="spellStart"/>
      <w:r w:rsidR="00E85E3D">
        <w:t>hemogram</w:t>
      </w:r>
      <w:proofErr w:type="spellEnd"/>
      <w:r w:rsidR="00E85E3D">
        <w:t xml:space="preserve">, liver </w:t>
      </w:r>
      <w:r w:rsidR="008B1AB5">
        <w:t>function tests, MRI of brain,</w:t>
      </w:r>
      <w:r w:rsidR="00E85E3D">
        <w:t xml:space="preserve"> </w:t>
      </w:r>
      <w:proofErr w:type="spellStart"/>
      <w:r w:rsidR="00E85E3D">
        <w:t>fibroscan</w:t>
      </w:r>
      <w:proofErr w:type="spellEnd"/>
      <w:r w:rsidR="00E85E3D">
        <w:t xml:space="preserve"> </w:t>
      </w:r>
      <w:r w:rsidR="008B1AB5">
        <w:t xml:space="preserve">etc. </w:t>
      </w:r>
      <w:r w:rsidR="00E85E3D">
        <w:t>were done.</w:t>
      </w:r>
      <w:r w:rsidR="008B1AB5" w:rsidRPr="008B1AB5">
        <w:t xml:space="preserve"> </w:t>
      </w:r>
      <w:r w:rsidR="008B1AB5">
        <w:t xml:space="preserve">Diagnosis was confirmed via clinical </w:t>
      </w:r>
      <w:proofErr w:type="spellStart"/>
      <w:r w:rsidR="008B1AB5">
        <w:t>exome</w:t>
      </w:r>
      <w:proofErr w:type="spellEnd"/>
      <w:r w:rsidR="008B1AB5">
        <w:t xml:space="preserve"> sequencing.</w:t>
      </w:r>
      <w:r w:rsidR="00E85E3D">
        <w:t xml:space="preserve"> Serum manganese levels were obtained before and after treatment</w:t>
      </w:r>
      <w:r w:rsidR="00056BBF">
        <w:t xml:space="preserve"> which </w:t>
      </w:r>
      <w:r w:rsidR="002407A5">
        <w:t>comprised of</w:t>
      </w:r>
      <w:r w:rsidR="008B1AB5">
        <w:t xml:space="preserve"> d-</w:t>
      </w:r>
      <w:proofErr w:type="spellStart"/>
      <w:r w:rsidR="008B1AB5">
        <w:t>penicillamine</w:t>
      </w:r>
      <w:proofErr w:type="spellEnd"/>
      <w:r w:rsidR="008B1AB5">
        <w:t xml:space="preserve"> combined with oral iron therapy and dietary manganese restriction. </w:t>
      </w:r>
      <w:r>
        <w:t xml:space="preserve">Findings: </w:t>
      </w:r>
      <w:r w:rsidR="008B1AB5">
        <w:t xml:space="preserve">Only one sibling had the triad of dystonia, polycythemia and cirrhosis. The other two were </w:t>
      </w:r>
      <w:r w:rsidR="00ED422F">
        <w:t xml:space="preserve">asymptomatic with a normal clinical examination and no evidence of polycythemia or cirrhosis. MRI of brain showed T1 </w:t>
      </w:r>
      <w:proofErr w:type="spellStart"/>
      <w:r w:rsidR="00ED422F">
        <w:t>hyperintensity</w:t>
      </w:r>
      <w:proofErr w:type="spellEnd"/>
      <w:r w:rsidR="00ED422F">
        <w:t xml:space="preserve"> involving bilateral basal ganglia and brainstem in two of them. Serum manganese levels were elevated in all the 3 siblings and clinical </w:t>
      </w:r>
      <w:proofErr w:type="spellStart"/>
      <w:r w:rsidR="00ED422F">
        <w:t>exome</w:t>
      </w:r>
      <w:proofErr w:type="spellEnd"/>
      <w:r w:rsidR="00ED422F">
        <w:t xml:space="preserve"> sequencing revealed a novel homozygous missense mutation (c.122C&gt;T) of SLC30A10 gene</w:t>
      </w:r>
      <w:r w:rsidR="002407A5">
        <w:t xml:space="preserve"> in all of them</w:t>
      </w:r>
      <w:r w:rsidR="00ED422F">
        <w:t>. Treatment with the alternative regimen resulted in significant clinical improvement and marked reduction of serum manganese level.</w:t>
      </w:r>
      <w:r>
        <w:t xml:space="preserve"> Conclusion &amp; Significance: </w:t>
      </w:r>
      <w:r w:rsidR="00056BBF">
        <w:t xml:space="preserve">This study documents the clinical profile of a novel genotype of SLC30A10 and also shows that treatment of </w:t>
      </w:r>
      <w:proofErr w:type="spellStart"/>
      <w:r w:rsidR="00056BBF">
        <w:t>hypermanganesemia</w:t>
      </w:r>
      <w:proofErr w:type="spellEnd"/>
      <w:r w:rsidR="00056BBF">
        <w:t xml:space="preserve"> with dystonia, polycythemia and cirrhosis can be satisfactorily done by </w:t>
      </w:r>
      <w:r w:rsidR="001D1324">
        <w:t>d-</w:t>
      </w:r>
      <w:bookmarkStart w:id="0" w:name="_GoBack"/>
      <w:bookmarkEnd w:id="0"/>
      <w:proofErr w:type="spellStart"/>
      <w:r w:rsidR="00056BBF">
        <w:t>penicillamine</w:t>
      </w:r>
      <w:proofErr w:type="spellEnd"/>
      <w:r w:rsidR="00056BBF">
        <w:t xml:space="preserve"> if calcium disodium EDTA is not available.</w:t>
      </w:r>
      <w:r w:rsidR="002407A5">
        <w:t xml:space="preserve"> </w:t>
      </w:r>
    </w:p>
    <w:p w:rsidR="002407A5" w:rsidRDefault="002407A5" w:rsidP="00ED422F">
      <w:pPr>
        <w:pStyle w:val="BodyText"/>
        <w:spacing w:before="90" w:line="280" w:lineRule="auto"/>
        <w:ind w:left="100"/>
        <w:jc w:val="both"/>
        <w:rPr>
          <w:color w:val="BF5A14"/>
        </w:rPr>
      </w:pPr>
    </w:p>
    <w:p w:rsidR="00AE3E37" w:rsidRDefault="00A9710C">
      <w:pPr>
        <w:pStyle w:val="Heading3"/>
        <w:spacing w:before="74"/>
      </w:pPr>
      <w:r>
        <w:rPr>
          <w:color w:val="BF5A14"/>
        </w:rPr>
        <w:lastRenderedPageBreak/>
        <w:t>Image</w:t>
      </w:r>
    </w:p>
    <w:p w:rsidR="00AE3E37" w:rsidRDefault="006E5458">
      <w:pPr>
        <w:pStyle w:val="BodyText"/>
        <w:spacing w:before="2"/>
        <w:rPr>
          <w:rFonts w:ascii="Arial"/>
          <w:b/>
          <w:sz w:val="16"/>
        </w:rPr>
      </w:pPr>
      <w:r w:rsidRPr="006E5458">
        <w:rPr>
          <w:rFonts w:ascii="Arial"/>
          <w:b/>
          <w:noProof/>
          <w:sz w:val="16"/>
          <w:lang w:val="en-IN" w:eastAsia="en-IN" w:bidi="hi-IN"/>
        </w:rPr>
        <w:drawing>
          <wp:inline distT="0" distB="0" distL="0" distR="0">
            <wp:extent cx="3165475" cy="1780580"/>
            <wp:effectExtent l="0" t="0" r="0" b="0"/>
            <wp:docPr id="2" name="Picture 2" descr="C:\Users\asus\Pictures\Picasa\Collages\HMD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Picasa\Collages\HMDP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8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6E5458" w:rsidRDefault="006E5458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4"/>
          <w:szCs w:val="18"/>
        </w:rPr>
      </w:pPr>
      <w:r w:rsidRPr="006E5458">
        <w:rPr>
          <w:rFonts w:asciiTheme="minorHAnsi" w:hAnsiTheme="minorHAnsi" w:cstheme="minorHAnsi"/>
          <w:noProof/>
          <w:sz w:val="18"/>
          <w:szCs w:val="18"/>
        </w:rPr>
        <w:t>Anagianni S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>,</w:t>
      </w:r>
      <w:r w:rsidRPr="006E5458">
        <w:rPr>
          <w:rFonts w:asciiTheme="minorHAnsi" w:hAnsiTheme="minorHAnsi" w:cstheme="minorHAnsi"/>
          <w:noProof/>
          <w:sz w:val="18"/>
          <w:szCs w:val="18"/>
        </w:rPr>
        <w:t xml:space="preserve"> T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uschl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K. Genetic disorders of manganese metabolism. Curr Neurol Neurosci Rep. 2019 May; 19: 33.</w:t>
      </w:r>
    </w:p>
    <w:p w:rsidR="005973B9" w:rsidRPr="006E5458" w:rsidRDefault="006E5458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4"/>
          <w:szCs w:val="18"/>
        </w:rPr>
      </w:pPr>
      <w:r w:rsidRPr="006E5458">
        <w:rPr>
          <w:rFonts w:asciiTheme="minorHAnsi" w:hAnsiTheme="minorHAnsi" w:cstheme="minorHAnsi"/>
          <w:noProof/>
          <w:sz w:val="18"/>
          <w:szCs w:val="18"/>
        </w:rPr>
        <w:t>Quadri M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>,</w:t>
      </w:r>
      <w:r w:rsidRPr="006E5458">
        <w:rPr>
          <w:rFonts w:asciiTheme="minorHAnsi" w:hAnsiTheme="minorHAnsi" w:cstheme="minorHAnsi"/>
          <w:noProof/>
          <w:sz w:val="18"/>
          <w:szCs w:val="18"/>
        </w:rPr>
        <w:t xml:space="preserve"> K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amate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M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,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S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harma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S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,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e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t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a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>l</w:t>
      </w:r>
      <w:r w:rsidRPr="006E5458">
        <w:rPr>
          <w:rFonts w:asciiTheme="minorHAnsi" w:hAnsiTheme="minorHAnsi" w:cstheme="minorHAnsi"/>
          <w:noProof/>
          <w:sz w:val="18"/>
          <w:szCs w:val="18"/>
        </w:rPr>
        <w:t>. Manganese transport disorder: novel SLC30A10 mutations and early phenotypes. Mov Disord. 2015 Mar; 30(7): 996-1001.</w:t>
      </w:r>
    </w:p>
    <w:p w:rsidR="005973B9" w:rsidRPr="006E5458" w:rsidRDefault="006E5458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theme="minorHAnsi"/>
          <w:sz w:val="14"/>
          <w:szCs w:val="18"/>
        </w:rPr>
      </w:pPr>
      <w:r w:rsidRPr="006E5458">
        <w:rPr>
          <w:rFonts w:asciiTheme="minorHAnsi" w:hAnsiTheme="minorHAnsi" w:cstheme="minorHAnsi"/>
          <w:noProof/>
          <w:sz w:val="18"/>
          <w:szCs w:val="18"/>
        </w:rPr>
        <w:t>Zaki MS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>,</w:t>
      </w:r>
      <w:r w:rsidRPr="006E5458">
        <w:rPr>
          <w:rFonts w:asciiTheme="minorHAnsi" w:hAnsiTheme="minorHAnsi" w:cstheme="minorHAnsi"/>
          <w:noProof/>
          <w:sz w:val="18"/>
          <w:szCs w:val="18"/>
        </w:rPr>
        <w:t xml:space="preserve"> I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ssa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M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Y,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E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lbendary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H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M, et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a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>l</w:t>
      </w:r>
      <w:r w:rsidRPr="006E5458">
        <w:rPr>
          <w:rFonts w:asciiTheme="minorHAnsi" w:hAnsiTheme="minorHAnsi" w:cstheme="minorHAnsi"/>
          <w:noProof/>
          <w:sz w:val="18"/>
          <w:szCs w:val="18"/>
        </w:rPr>
        <w:t>. Hypermanganesemia with dystonia, polycythemia and cirrhosis in 10 patients: six novel SLC30A10 mutations and further phenotype delineation. Clin Genet. 2017 Nov; 93(4): 905-912.</w:t>
      </w:r>
    </w:p>
    <w:p w:rsidR="005973B9" w:rsidRPr="006E5458" w:rsidRDefault="006E5458" w:rsidP="006E5458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 w:cstheme="minorHAnsi"/>
        </w:rPr>
      </w:pPr>
      <w:r w:rsidRPr="006E5458">
        <w:rPr>
          <w:rFonts w:asciiTheme="minorHAnsi" w:hAnsiTheme="minorHAnsi" w:cstheme="minorHAnsi"/>
          <w:noProof/>
          <w:sz w:val="18"/>
          <w:szCs w:val="18"/>
        </w:rPr>
        <w:t>Mukhtiar K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>,</w:t>
      </w:r>
      <w:r w:rsidRPr="006E5458">
        <w:rPr>
          <w:rFonts w:asciiTheme="minorHAnsi" w:hAnsiTheme="minorHAnsi" w:cstheme="minorHAnsi"/>
          <w:noProof/>
          <w:sz w:val="18"/>
          <w:szCs w:val="18"/>
        </w:rPr>
        <w:t xml:space="preserve"> I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brahim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S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,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T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uschl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K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,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M</w:t>
      </w:r>
      <w:r w:rsidRPr="006E5458">
        <w:rPr>
          <w:rFonts w:asciiTheme="minorHAnsi" w:hAnsiTheme="minorHAnsi" w:cstheme="minorHAnsi"/>
          <w:noProof/>
          <w:sz w:val="18"/>
          <w:szCs w:val="18"/>
          <w:lang w:val="en-IN"/>
        </w:rPr>
        <w:t xml:space="preserve">ills </w:t>
      </w:r>
      <w:r w:rsidRPr="006E5458">
        <w:rPr>
          <w:rFonts w:asciiTheme="minorHAnsi" w:hAnsiTheme="minorHAnsi" w:cstheme="minorHAnsi"/>
          <w:noProof/>
          <w:sz w:val="18"/>
          <w:szCs w:val="18"/>
        </w:rPr>
        <w:t>P. Hypermanganesemia with dystonia, polycythemia and cirrhosis (HMDPC) due to mutation in the SLC30A10 gene. Brain Dev. 2016 Oct; 38(9): 862-865.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6E5458">
        <w:rPr>
          <w:rFonts w:ascii="Calibri" w:hAnsi="Calibri"/>
        </w:rPr>
        <w:t xml:space="preserve"> </w:t>
      </w:r>
      <w:r w:rsidR="006E5458" w:rsidRPr="006E5458">
        <w:rPr>
          <w:rFonts w:asciiTheme="minorHAnsi" w:hAnsiTheme="minorHAnsi" w:cstheme="minorHAnsi"/>
          <w:noProof/>
        </w:rPr>
        <w:t>Tuschl K</w:t>
      </w:r>
      <w:r w:rsidR="006E5458" w:rsidRPr="006E5458">
        <w:rPr>
          <w:rFonts w:asciiTheme="minorHAnsi" w:hAnsiTheme="minorHAnsi" w:cstheme="minorHAnsi"/>
          <w:noProof/>
          <w:lang w:val="en-IN"/>
        </w:rPr>
        <w:t>,</w:t>
      </w:r>
      <w:r w:rsidR="006E5458" w:rsidRPr="006E5458">
        <w:rPr>
          <w:rFonts w:asciiTheme="minorHAnsi" w:hAnsiTheme="minorHAnsi" w:cstheme="minorHAnsi"/>
          <w:noProof/>
        </w:rPr>
        <w:t xml:space="preserve"> C</w:t>
      </w:r>
      <w:r w:rsidR="006E5458" w:rsidRPr="006E5458">
        <w:rPr>
          <w:rFonts w:asciiTheme="minorHAnsi" w:hAnsiTheme="minorHAnsi" w:cstheme="minorHAnsi"/>
          <w:noProof/>
          <w:lang w:val="en-IN"/>
        </w:rPr>
        <w:t xml:space="preserve">layton </w:t>
      </w:r>
      <w:r w:rsidR="006E5458" w:rsidRPr="006E5458">
        <w:rPr>
          <w:rFonts w:asciiTheme="minorHAnsi" w:hAnsiTheme="minorHAnsi" w:cstheme="minorHAnsi"/>
          <w:noProof/>
        </w:rPr>
        <w:t>P</w:t>
      </w:r>
      <w:r w:rsidR="006E5458" w:rsidRPr="006E5458">
        <w:rPr>
          <w:rFonts w:asciiTheme="minorHAnsi" w:hAnsiTheme="minorHAnsi" w:cstheme="minorHAnsi"/>
          <w:noProof/>
          <w:lang w:val="en-IN"/>
        </w:rPr>
        <w:t xml:space="preserve">T, </w:t>
      </w:r>
      <w:r w:rsidR="006E5458" w:rsidRPr="006E5458">
        <w:rPr>
          <w:rFonts w:asciiTheme="minorHAnsi" w:hAnsiTheme="minorHAnsi" w:cstheme="minorHAnsi"/>
          <w:noProof/>
        </w:rPr>
        <w:t>G</w:t>
      </w:r>
      <w:r w:rsidR="006E5458" w:rsidRPr="006E5458">
        <w:rPr>
          <w:rFonts w:asciiTheme="minorHAnsi" w:hAnsiTheme="minorHAnsi" w:cstheme="minorHAnsi"/>
          <w:noProof/>
          <w:lang w:val="en-IN"/>
        </w:rPr>
        <w:t xml:space="preserve">ospe </w:t>
      </w:r>
      <w:r w:rsidR="006E5458" w:rsidRPr="006E5458">
        <w:rPr>
          <w:rFonts w:asciiTheme="minorHAnsi" w:hAnsiTheme="minorHAnsi" w:cstheme="minorHAnsi"/>
          <w:noProof/>
        </w:rPr>
        <w:t>S</w:t>
      </w:r>
      <w:r w:rsidR="006E5458" w:rsidRPr="006E5458">
        <w:rPr>
          <w:rFonts w:asciiTheme="minorHAnsi" w:hAnsiTheme="minorHAnsi" w:cstheme="minorHAnsi"/>
          <w:noProof/>
          <w:lang w:val="en-IN"/>
        </w:rPr>
        <w:t xml:space="preserve">M </w:t>
      </w:r>
      <w:r w:rsidR="006E5458" w:rsidRPr="006E5458">
        <w:rPr>
          <w:rFonts w:asciiTheme="minorHAnsi" w:hAnsiTheme="minorHAnsi" w:cstheme="minorHAnsi"/>
          <w:noProof/>
        </w:rPr>
        <w:t>J</w:t>
      </w:r>
      <w:r w:rsidR="006E5458" w:rsidRPr="006E5458">
        <w:rPr>
          <w:rFonts w:asciiTheme="minorHAnsi" w:hAnsiTheme="minorHAnsi" w:cstheme="minorHAnsi"/>
          <w:noProof/>
          <w:lang w:val="en-IN"/>
        </w:rPr>
        <w:t xml:space="preserve">r, </w:t>
      </w:r>
      <w:r w:rsidR="006E5458" w:rsidRPr="006E5458">
        <w:rPr>
          <w:rFonts w:asciiTheme="minorHAnsi" w:hAnsiTheme="minorHAnsi" w:cstheme="minorHAnsi"/>
          <w:noProof/>
        </w:rPr>
        <w:t>e</w:t>
      </w:r>
      <w:r w:rsidR="006E5458" w:rsidRPr="006E5458">
        <w:rPr>
          <w:rFonts w:asciiTheme="minorHAnsi" w:hAnsiTheme="minorHAnsi" w:cstheme="minorHAnsi"/>
          <w:noProof/>
          <w:lang w:val="en-IN"/>
        </w:rPr>
        <w:t xml:space="preserve">t </w:t>
      </w:r>
      <w:r w:rsidR="006E5458" w:rsidRPr="006E5458">
        <w:rPr>
          <w:rFonts w:asciiTheme="minorHAnsi" w:hAnsiTheme="minorHAnsi" w:cstheme="minorHAnsi"/>
          <w:noProof/>
        </w:rPr>
        <w:t>a</w:t>
      </w:r>
      <w:r w:rsidR="006E5458" w:rsidRPr="006E5458">
        <w:rPr>
          <w:rFonts w:asciiTheme="minorHAnsi" w:hAnsiTheme="minorHAnsi" w:cstheme="minorHAnsi"/>
          <w:noProof/>
          <w:lang w:val="en-IN"/>
        </w:rPr>
        <w:t>l</w:t>
      </w:r>
      <w:r w:rsidR="006E5458" w:rsidRPr="006E5458">
        <w:rPr>
          <w:rFonts w:asciiTheme="minorHAnsi" w:hAnsiTheme="minorHAnsi" w:cstheme="minorHAnsi"/>
          <w:noProof/>
        </w:rPr>
        <w:t>. Syndrome of hepatic cirrhosis, dystonia, polycythemia, and hypermanganesemia caused by mutations in SLC30A10, a manganese transporter in man. Am J Hum Genet. 2012 Mar; 90(3): 457-466.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 w:bidi="hi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51F05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E2BAA" w:rsidRPr="00DE2BAA">
        <w:rPr>
          <w:noProof/>
          <w:lang w:val="en-IN" w:eastAsia="en-IN" w:bidi="hi-IN"/>
        </w:rPr>
        <w:drawing>
          <wp:inline distT="0" distB="0" distL="0" distR="0">
            <wp:extent cx="845820" cy="944880"/>
            <wp:effectExtent l="0" t="0" r="0" b="7620"/>
            <wp:docPr id="6" name="Picture 6" descr="C:\Users\asus\Downloads\New Doc 2017-01-23 (1)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ownloads\New Doc 2017-01-23 (1)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2" t="8699" r="6404" b="14241"/>
                    <a:stretch/>
                  </pic:blipFill>
                  <pic:spPr bwMode="auto">
                    <a:xfrm>
                      <a:off x="0" y="0"/>
                      <a:ext cx="854722" cy="95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155EC7" w:rsidRDefault="00D20746" w:rsidP="00155EC7">
      <w:pPr>
        <w:spacing w:before="41" w:line="154" w:lineRule="exact"/>
        <w:ind w:left="213" w:right="231" w:firstLine="507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Arpan Dutta is currently a resident in the Department of Neurology, </w:t>
      </w:r>
      <w:proofErr w:type="spellStart"/>
      <w:r>
        <w:rPr>
          <w:rFonts w:ascii="Arial"/>
          <w:sz w:val="14"/>
        </w:rPr>
        <w:t>Bangur</w:t>
      </w:r>
      <w:proofErr w:type="spellEnd"/>
      <w:r>
        <w:rPr>
          <w:rFonts w:ascii="Arial"/>
          <w:sz w:val="14"/>
        </w:rPr>
        <w:t xml:space="preserve"> Institute of Neurosciences, </w:t>
      </w:r>
      <w:proofErr w:type="gramStart"/>
      <w:r>
        <w:rPr>
          <w:rFonts w:ascii="Arial"/>
          <w:sz w:val="14"/>
        </w:rPr>
        <w:t>Kolkata</w:t>
      </w:r>
      <w:proofErr w:type="gramEnd"/>
      <w:r>
        <w:rPr>
          <w:rFonts w:ascii="Arial"/>
          <w:sz w:val="14"/>
        </w:rPr>
        <w:t xml:space="preserve">, India and is pursuing DM Neurology course. </w:t>
      </w:r>
    </w:p>
    <w:p w:rsidR="00AE3E37" w:rsidRDefault="00D20746" w:rsidP="00155EC7">
      <w:pPr>
        <w:spacing w:before="41" w:line="154" w:lineRule="exact"/>
        <w:ind w:left="213" w:right="231" w:firstLine="507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He has completed his MBBS degree from Nil </w:t>
      </w:r>
      <w:proofErr w:type="spellStart"/>
      <w:r>
        <w:rPr>
          <w:rFonts w:ascii="Arial"/>
          <w:sz w:val="14"/>
        </w:rPr>
        <w:t>Ratan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Sircar</w:t>
      </w:r>
      <w:proofErr w:type="spellEnd"/>
      <w:r>
        <w:rPr>
          <w:rFonts w:ascii="Arial"/>
          <w:sz w:val="14"/>
        </w:rPr>
        <w:t xml:space="preserve"> Medical College, Kolkata, India and MD General Medicine degree form IPGMER, Kolkata, India. </w:t>
      </w:r>
    </w:p>
    <w:p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D20746">
        <w:rPr>
          <w:rFonts w:ascii="Arial"/>
          <w:sz w:val="14"/>
        </w:rPr>
        <w:t>arpan.dutta1987@gmail.com</w:t>
      </w:r>
      <w:hyperlink r:id="rId11" w:history="1"/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</w:t>
      </w:r>
      <w:r w:rsidR="00D20746">
        <w:rPr>
          <w:rStyle w:val="Hyperlink"/>
          <w:rFonts w:ascii="Arial"/>
          <w:color w:val="auto"/>
          <w:sz w:val="14"/>
          <w:u w:val="none"/>
        </w:rPr>
        <w:t>9</w:t>
      </w:r>
      <w:r>
        <w:rPr>
          <w:rStyle w:val="Hyperlink"/>
          <w:rFonts w:ascii="Arial"/>
          <w:color w:val="auto"/>
          <w:sz w:val="14"/>
          <w:u w:val="none"/>
        </w:rPr>
        <w:t>1-</w:t>
      </w:r>
      <w:r w:rsidR="00D20746">
        <w:rPr>
          <w:rStyle w:val="Hyperlink"/>
          <w:rFonts w:ascii="Arial"/>
          <w:color w:val="auto"/>
          <w:sz w:val="14"/>
          <w:u w:val="none"/>
        </w:rPr>
        <w:t>9477166153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9E44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B8A" w:rsidRDefault="00B54B8A">
      <w:r>
        <w:separator/>
      </w:r>
    </w:p>
  </w:endnote>
  <w:endnote w:type="continuationSeparator" w:id="0">
    <w:p w:rsidR="00B54B8A" w:rsidRDefault="00B5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B8A" w:rsidRDefault="00B54B8A">
      <w:r>
        <w:separator/>
      </w:r>
    </w:p>
  </w:footnote>
  <w:footnote w:type="continuationSeparator" w:id="0">
    <w:p w:rsidR="00B54B8A" w:rsidRDefault="00B54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6BBF"/>
    <w:rsid w:val="000642C6"/>
    <w:rsid w:val="00065718"/>
    <w:rsid w:val="000A7BD4"/>
    <w:rsid w:val="000E2911"/>
    <w:rsid w:val="001263DF"/>
    <w:rsid w:val="00155EC7"/>
    <w:rsid w:val="001D1324"/>
    <w:rsid w:val="002220FB"/>
    <w:rsid w:val="002303D8"/>
    <w:rsid w:val="002407A5"/>
    <w:rsid w:val="00292ED9"/>
    <w:rsid w:val="00404E5B"/>
    <w:rsid w:val="00414F7B"/>
    <w:rsid w:val="004151CB"/>
    <w:rsid w:val="004355DC"/>
    <w:rsid w:val="004749B4"/>
    <w:rsid w:val="00494130"/>
    <w:rsid w:val="004F3523"/>
    <w:rsid w:val="005808C3"/>
    <w:rsid w:val="005973B9"/>
    <w:rsid w:val="005B3A56"/>
    <w:rsid w:val="006060CE"/>
    <w:rsid w:val="0063497F"/>
    <w:rsid w:val="006910C5"/>
    <w:rsid w:val="006E5458"/>
    <w:rsid w:val="00827B1F"/>
    <w:rsid w:val="0084444E"/>
    <w:rsid w:val="00873DF0"/>
    <w:rsid w:val="008756E6"/>
    <w:rsid w:val="008B1AB5"/>
    <w:rsid w:val="009B2D44"/>
    <w:rsid w:val="00A07E82"/>
    <w:rsid w:val="00A62401"/>
    <w:rsid w:val="00A9710C"/>
    <w:rsid w:val="00AE3E37"/>
    <w:rsid w:val="00B21A57"/>
    <w:rsid w:val="00B54B8A"/>
    <w:rsid w:val="00C33602"/>
    <w:rsid w:val="00CC00DB"/>
    <w:rsid w:val="00CD6F55"/>
    <w:rsid w:val="00D20746"/>
    <w:rsid w:val="00DE2BAA"/>
    <w:rsid w:val="00DE3104"/>
    <w:rsid w:val="00E029EB"/>
    <w:rsid w:val="00E5306A"/>
    <w:rsid w:val="00E85E3D"/>
    <w:rsid w:val="00ED422F"/>
    <w:rsid w:val="00F552E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51F27B-835F-4048-9DF0-EE0F8175C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payel mitra</cp:lastModifiedBy>
  <cp:revision>9</cp:revision>
  <dcterms:created xsi:type="dcterms:W3CDTF">2016-09-02T12:15:00Z</dcterms:created>
  <dcterms:modified xsi:type="dcterms:W3CDTF">2020-01-21T14:04:00Z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