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5A94" w:rsidRPr="00355A94" w:rsidRDefault="00355A94" w:rsidP="00494130">
      <w:pPr>
        <w:pStyle w:val="1"/>
        <w:spacing w:before="170"/>
        <w:ind w:left="0"/>
        <w:rPr>
          <w:rFonts w:eastAsia="Malgun Gothic" w:hAnsi="Times New Roman" w:cs="Times New Roman"/>
          <w:b w:val="0"/>
        </w:rPr>
      </w:pPr>
      <w:r w:rsidRPr="00E2239E">
        <w:rPr>
          <w:rFonts w:hAnsi="Times New Roman"/>
          <w:b w:val="0"/>
        </w:rPr>
        <w:t>Post-treatment with oxcarbazepine confers potent neuroprotection against transient global cerebral ischemic injury by activating Nrf2 defense pathway</w:t>
      </w:r>
    </w:p>
    <w:p w:rsidR="00F53455" w:rsidRDefault="00F53455" w:rsidP="002B05CD">
      <w:pPr>
        <w:snapToGrid w:val="0"/>
        <w:spacing w:line="276" w:lineRule="auto"/>
      </w:pPr>
      <w:bookmarkStart w:id="0" w:name="_Hlk8020921"/>
    </w:p>
    <w:bookmarkEnd w:id="0"/>
    <w:p w:rsidR="00727100" w:rsidRDefault="00727100" w:rsidP="00727100">
      <w:pPr>
        <w:snapToGrid w:val="0"/>
        <w:spacing w:line="276" w:lineRule="auto"/>
        <w:rPr>
          <w:vertAlign w:val="superscript"/>
        </w:rPr>
      </w:pPr>
      <w:r w:rsidRPr="00EC0D55">
        <w:t>Won Joo Seo</w:t>
      </w:r>
      <w:r w:rsidRPr="00EC0D55">
        <w:rPr>
          <w:vertAlign w:val="superscript"/>
        </w:rPr>
        <w:t>1</w:t>
      </w:r>
      <w:r w:rsidRPr="00EC0D55">
        <w:t xml:space="preserve">, </w:t>
      </w:r>
      <w:bookmarkStart w:id="1" w:name="_GoBack"/>
      <w:bookmarkEnd w:id="1"/>
      <w:r w:rsidRPr="00EC0D55">
        <w:t>Yeon Ho Yoo</w:t>
      </w:r>
      <w:r w:rsidRPr="00EC0D55">
        <w:rPr>
          <w:vertAlign w:val="superscript"/>
        </w:rPr>
        <w:t>1</w:t>
      </w:r>
      <w:r w:rsidRPr="00EC0D55">
        <w:t>, Jun Hwi Cho</w:t>
      </w:r>
      <w:r w:rsidRPr="00EC0D55">
        <w:rPr>
          <w:vertAlign w:val="superscript"/>
        </w:rPr>
        <w:t>1</w:t>
      </w:r>
      <w:r>
        <w:rPr>
          <w:vertAlign w:val="superscript"/>
        </w:rPr>
        <w:t>,3</w:t>
      </w:r>
      <w:r w:rsidRPr="00EC0D55">
        <w:t xml:space="preserve">, </w:t>
      </w:r>
      <w:r>
        <w:t>Joong Bum Moon</w:t>
      </w:r>
      <w:r w:rsidRPr="00EC0D55">
        <w:rPr>
          <w:vertAlign w:val="superscript"/>
        </w:rPr>
        <w:t>1</w:t>
      </w:r>
      <w:r>
        <w:rPr>
          <w:vertAlign w:val="superscript"/>
        </w:rPr>
        <w:t>,3</w:t>
      </w:r>
      <w:r>
        <w:t>, Chan Woo Park</w:t>
      </w:r>
      <w:r w:rsidRPr="00EC0D55">
        <w:rPr>
          <w:vertAlign w:val="superscript"/>
        </w:rPr>
        <w:t>1</w:t>
      </w:r>
      <w:r>
        <w:rPr>
          <w:vertAlign w:val="superscript"/>
        </w:rPr>
        <w:t>,3</w:t>
      </w:r>
      <w:r>
        <w:t>, Taek Geun Ohk</w:t>
      </w:r>
      <w:r w:rsidRPr="00EC0D55">
        <w:rPr>
          <w:vertAlign w:val="superscript"/>
        </w:rPr>
        <w:t>1</w:t>
      </w:r>
      <w:r>
        <w:rPr>
          <w:vertAlign w:val="superscript"/>
        </w:rPr>
        <w:t>,3</w:t>
      </w:r>
      <w:r>
        <w:t>, Myoung Cheol Shin</w:t>
      </w:r>
      <w:r w:rsidRPr="00EC0D55">
        <w:rPr>
          <w:vertAlign w:val="superscript"/>
        </w:rPr>
        <w:t>1</w:t>
      </w:r>
      <w:r>
        <w:t xml:space="preserve">, </w:t>
      </w:r>
      <w:r w:rsidRPr="00EC0D55">
        <w:t>Ji Hyeon Ahn</w:t>
      </w:r>
      <w:r>
        <w:rPr>
          <w:vertAlign w:val="superscript"/>
        </w:rPr>
        <w:t>2</w:t>
      </w:r>
      <w:r w:rsidRPr="00EC0D55">
        <w:t xml:space="preserve">, </w:t>
      </w:r>
      <w:r w:rsidRPr="00EC0D55">
        <w:rPr>
          <w:lang w:val="x-none"/>
        </w:rPr>
        <w:t>Young Eun Park</w:t>
      </w:r>
      <w:r>
        <w:rPr>
          <w:vertAlign w:val="superscript"/>
          <w:lang w:eastAsia="x-none"/>
        </w:rPr>
        <w:t>3</w:t>
      </w:r>
      <w:r w:rsidRPr="00EC0D55">
        <w:rPr>
          <w:lang w:val="x-none"/>
        </w:rPr>
        <w:t>,</w:t>
      </w:r>
      <w:r w:rsidRPr="00EC0D55">
        <w:t xml:space="preserve"> Tae-Kyeong Lee</w:t>
      </w:r>
      <w:r>
        <w:rPr>
          <w:vertAlign w:val="superscript"/>
          <w:lang w:eastAsia="x-none"/>
        </w:rPr>
        <w:t>3</w:t>
      </w:r>
      <w:r w:rsidRPr="00EC0D55">
        <w:t>, Jae-Chul Lee</w:t>
      </w:r>
      <w:r>
        <w:rPr>
          <w:vertAlign w:val="superscript"/>
          <w:lang w:eastAsia="x-none"/>
        </w:rPr>
        <w:t>3</w:t>
      </w:r>
      <w:r w:rsidRPr="00EC0D55">
        <w:t>, Moo-Ho Won</w:t>
      </w:r>
      <w:r>
        <w:rPr>
          <w:vertAlign w:val="superscript"/>
          <w:lang w:eastAsia="x-none"/>
        </w:rPr>
        <w:t>3</w:t>
      </w:r>
      <w:r w:rsidRPr="00EC0D55">
        <w:t>, Joon Ha Park</w:t>
      </w:r>
      <w:r>
        <w:rPr>
          <w:vertAlign w:val="superscript"/>
        </w:rPr>
        <w:t>4</w:t>
      </w:r>
    </w:p>
    <w:p w:rsidR="002B05CD" w:rsidRPr="00EC0D55" w:rsidRDefault="002B05CD" w:rsidP="002B05CD">
      <w:pPr>
        <w:snapToGrid w:val="0"/>
        <w:spacing w:line="276" w:lineRule="auto"/>
        <w:rPr>
          <w:vertAlign w:val="superscript"/>
        </w:rPr>
      </w:pPr>
    </w:p>
    <w:p w:rsidR="002B05CD" w:rsidRPr="002B05CD" w:rsidRDefault="002B05CD" w:rsidP="002B05CD">
      <w:pPr>
        <w:snapToGrid w:val="0"/>
        <w:rPr>
          <w:rFonts w:eastAsia="바탕체"/>
          <w:i/>
        </w:rPr>
      </w:pPr>
      <w:r>
        <w:rPr>
          <w:i/>
          <w:vertAlign w:val="superscript"/>
        </w:rPr>
        <w:t>1</w:t>
      </w:r>
      <w:r w:rsidRPr="00E2239E">
        <w:rPr>
          <w:i/>
        </w:rPr>
        <w:t xml:space="preserve">Department of Neurobiology, School of Medicine, Kangwon National University, Chuncheon, Gangwon 24341, Republic of Korea </w:t>
      </w:r>
      <w:r>
        <w:rPr>
          <w:i/>
          <w:vertAlign w:val="superscript"/>
        </w:rPr>
        <w:t>2</w:t>
      </w:r>
      <w:r w:rsidRPr="00E2239E">
        <w:rPr>
          <w:i/>
        </w:rPr>
        <w:t xml:space="preserve">Department of Biomedical Science and Research Institute for Bioscience and Biotechnology, Hallym University, Chuncheon, </w:t>
      </w:r>
      <w:r w:rsidRPr="00E2239E">
        <w:rPr>
          <w:rFonts w:eastAsia="SimSun"/>
          <w:i/>
        </w:rPr>
        <w:t>Gangwon</w:t>
      </w:r>
      <w:r w:rsidRPr="00E2239E">
        <w:rPr>
          <w:i/>
        </w:rPr>
        <w:t xml:space="preserve"> 24252, Republic of Korea </w:t>
      </w:r>
      <w:r>
        <w:rPr>
          <w:i/>
          <w:vertAlign w:val="superscript"/>
        </w:rPr>
        <w:t>3</w:t>
      </w:r>
      <w:r w:rsidRPr="00E2239E">
        <w:rPr>
          <w:i/>
        </w:rPr>
        <w:t xml:space="preserve">Department of Neurobiology, School of Medicine, Kangwon National University, Chuncheon, Gangwon 24341, Republic of Korea </w:t>
      </w:r>
      <w:bookmarkStart w:id="2" w:name="_Hlk14177939"/>
      <w:r>
        <w:rPr>
          <w:i/>
          <w:vertAlign w:val="superscript"/>
        </w:rPr>
        <w:t>4</w:t>
      </w:r>
      <w:r w:rsidRPr="00563DAE">
        <w:rPr>
          <w:i/>
        </w:rPr>
        <w:t>Department of Anatomy, College of Oriental Medicine, Dongguk University</w:t>
      </w:r>
      <w:r>
        <w:rPr>
          <w:i/>
        </w:rPr>
        <w:t xml:space="preserve">, Gyeongju, </w:t>
      </w:r>
      <w:r w:rsidRPr="00B32B29">
        <w:rPr>
          <w:i/>
        </w:rPr>
        <w:t>Gyeongsangbuk</w:t>
      </w:r>
      <w:r>
        <w:rPr>
          <w:i/>
        </w:rPr>
        <w:t xml:space="preserve"> 38066, </w:t>
      </w:r>
      <w:r w:rsidRPr="00E2239E">
        <w:rPr>
          <w:i/>
        </w:rPr>
        <w:t>Republic of Korea</w:t>
      </w:r>
    </w:p>
    <w:bookmarkEnd w:id="2"/>
    <w:p w:rsidR="005973B9" w:rsidRDefault="005973B9" w:rsidP="002B05CD">
      <w:pPr>
        <w:pStyle w:val="a3"/>
        <w:spacing w:before="73" w:line="198" w:lineRule="exact"/>
        <w:ind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2B05CD">
      <w:pPr>
        <w:pStyle w:val="3"/>
        <w:spacing w:before="147"/>
        <w:ind w:left="0"/>
        <w:jc w:val="both"/>
      </w:pPr>
      <w:r>
        <w:rPr>
          <w:color w:val="BF5A14"/>
        </w:rPr>
        <w:t>Abstract</w:t>
      </w:r>
    </w:p>
    <w:p w:rsidR="00355A94" w:rsidRPr="0072306A" w:rsidRDefault="00355A94" w:rsidP="00355A94">
      <w:pPr>
        <w:snapToGrid w:val="0"/>
        <w:rPr>
          <w:rFonts w:ascii="Times New Roman" w:hAnsi="Times New Roman" w:cs="Times New Roman"/>
        </w:rPr>
      </w:pPr>
      <w:r w:rsidRPr="0072306A">
        <w:rPr>
          <w:rFonts w:ascii="Times New Roman" w:hAnsi="Times New Roman" w:cs="Times New Roman"/>
        </w:rPr>
        <w:t xml:space="preserve">Purpose: Oxcarbazepine (OXC), a voltage-gated sodium channel blocker, is a new antiepileptic medication. OXC is also used for the treatment of bipolar disorders. Some voltage-gated sodium channel blockers have been demonstrated to display strong neuroprotective properties in models of cerebral ischemia. However, protective effects of OXC against ischemic brain injury and related mechanisms have not yet been reported. In this study, we investigated the protective effect of OXC and its mechanisms in the cornu ammonis 1 subfield (CA1) of gerbils subjected to 5 min of transient global cerebral ischemia (tGCI). </w:t>
      </w:r>
    </w:p>
    <w:p w:rsidR="00355A94" w:rsidRPr="0072306A" w:rsidRDefault="00355A94" w:rsidP="00355A94">
      <w:pPr>
        <w:snapToGrid w:val="0"/>
        <w:rPr>
          <w:rFonts w:ascii="Times New Roman" w:hAnsi="Times New Roman" w:cs="Times New Roman"/>
        </w:rPr>
      </w:pPr>
      <w:r w:rsidRPr="0072306A">
        <w:rPr>
          <w:rFonts w:ascii="Times New Roman" w:hAnsi="Times New Roman" w:cs="Times New Roman"/>
        </w:rPr>
        <w:t xml:space="preserve">Materials and methods: Transient ischemia led to death of most pyramidal neurons in CA1 at 5 days after tGCI. OXC (100 and 200 mg/kg) was intraperitoneally administered once at 30 min after tGCI. </w:t>
      </w:r>
    </w:p>
    <w:p w:rsidR="00355A94" w:rsidRPr="0072306A" w:rsidRDefault="00355A94" w:rsidP="00355A94">
      <w:pPr>
        <w:snapToGrid w:val="0"/>
        <w:rPr>
          <w:rFonts w:ascii="Times New Roman" w:eastAsia="Batang" w:hAnsi="Times New Roman" w:cs="Times New Roman"/>
        </w:rPr>
      </w:pPr>
      <w:r w:rsidRPr="0072306A">
        <w:rPr>
          <w:rFonts w:ascii="Times New Roman" w:hAnsi="Times New Roman" w:cs="Times New Roman"/>
        </w:rPr>
        <w:t xml:space="preserve">Results: Treatment with 200 mg/kg OXC, not 100 mg/kg OXC, significantly protected CA1 pyramidal neurons from tGCI-induced injury. OXC treatment significantly decreased superoxide anion production, 4-hydroxy-2-nonenal and 8-hydroxyguanine levels in ischemic CA1 pyramidal neurons. In addition, the treatment restored levels of superoxide dismutases, catalase, and glutathione peroxidase. Furthermore, the treatment distinctly </w:t>
      </w:r>
      <w:r w:rsidRPr="0072306A">
        <w:rPr>
          <w:rFonts w:ascii="Times New Roman" w:eastAsia="Batang" w:hAnsi="Times New Roman" w:cs="Times New Roman"/>
        </w:rPr>
        <w:t xml:space="preserve">inhibited tGCI-induced microglia activation and significantly reduced levels of pro-inﬂammatory cytokines (interleukin-1β and tumor necrosis factor-α). </w:t>
      </w:r>
    </w:p>
    <w:p w:rsidR="0072306A" w:rsidRDefault="00355A94" w:rsidP="00355A94">
      <w:pPr>
        <w:snapToGrid w:val="0"/>
        <w:rPr>
          <w:rFonts w:ascii="Times New Roman" w:hAnsi="Times New Roman" w:cs="Times New Roman"/>
        </w:rPr>
      </w:pPr>
      <w:r w:rsidRPr="0072306A">
        <w:rPr>
          <w:rFonts w:ascii="Times New Roman" w:eastAsia="Batang" w:hAnsi="Times New Roman" w:cs="Times New Roman"/>
        </w:rPr>
        <w:t xml:space="preserve">Conclusions: In particular, OXC treatment significantly enhanced expressions of nuclear factor erythroid 2-related </w:t>
      </w:r>
      <w:r w:rsidRPr="0072306A">
        <w:rPr>
          <w:rFonts w:ascii="Times New Roman" w:eastAsia="Batang" w:hAnsi="Times New Roman" w:cs="Times New Roman"/>
        </w:rPr>
        <w:t xml:space="preserve">factor 2 (Nrf2) and its downstream protein heme oxygenase-1 in ischemic CA1; however, </w:t>
      </w:r>
      <w:r w:rsidRPr="0072306A">
        <w:rPr>
          <w:rFonts w:ascii="Times New Roman" w:hAnsi="Times New Roman" w:cs="Times New Roman"/>
        </w:rPr>
        <w:t>the forenamed effects of OXC were abolished by brusatol (an inhibitor of Nrf2).</w:t>
      </w:r>
      <w:r w:rsidRPr="0072306A">
        <w:rPr>
          <w:rFonts w:ascii="Times New Roman" w:hAnsi="Times New Roman" w:cs="Times New Roman"/>
          <w:b/>
        </w:rPr>
        <w:t xml:space="preserve"> </w:t>
      </w:r>
      <w:r w:rsidRPr="0072306A">
        <w:rPr>
          <w:rFonts w:ascii="Times New Roman" w:hAnsi="Times New Roman" w:cs="Times New Roman"/>
        </w:rPr>
        <w:t>Taken together, these results indicate that post-treatment of OXC can display neuroprotection against brain injuries following ischemic insults. This neuroprotection may be displayed by attenuation of oxidative stress and neuroinflammation, which can be mediated by activation of Nrf2 pathway.</w:t>
      </w:r>
    </w:p>
    <w:p w:rsidR="002B05CD" w:rsidRPr="00355A94" w:rsidRDefault="005973B9" w:rsidP="00355A94">
      <w:pPr>
        <w:snapToGrid w:val="0"/>
        <w:rPr>
          <w:rFonts w:eastAsia="Batang" w:hAnsi="Times New Roman"/>
        </w:rPr>
      </w:pPr>
      <w:r>
        <w:rPr>
          <w:rFonts w:ascii="Arial"/>
          <w:b/>
          <w:color w:val="BF5A14"/>
          <w:sz w:val="20"/>
        </w:rPr>
        <w:br/>
        <w:t xml:space="preserve">Recent Publications </w:t>
      </w:r>
    </w:p>
    <w:p w:rsidR="00674A7B" w:rsidRPr="00674A7B" w:rsidRDefault="002B05CD" w:rsidP="002B05CD">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Jung YS, Kim KS, Suh GJ, Cho JH</w:t>
      </w:r>
      <w:r w:rsidRPr="00674A7B">
        <w:rPr>
          <w:rFonts w:asciiTheme="minorHAnsi" w:eastAsia="Times New Roman" w:hAnsiTheme="minorHAnsi" w:cstheme="minorHAnsi"/>
          <w:color w:val="000000"/>
          <w:sz w:val="18"/>
          <w:szCs w:val="18"/>
          <w:shd w:val="clear" w:color="auto" w:fill="FFFFFF"/>
          <w:lang w:eastAsia="ko-KR"/>
        </w:rPr>
        <w:t xml:space="preserve"> (2019) </w:t>
      </w:r>
      <w:r w:rsidRPr="00674A7B">
        <w:rPr>
          <w:rFonts w:asciiTheme="minorHAnsi" w:hAnsiTheme="minorHAnsi" w:cstheme="minorHAnsi"/>
          <w:sz w:val="18"/>
          <w:szCs w:val="18"/>
        </w:rPr>
        <w:t xml:space="preserve">Pre-Comparison between Gel Pad Cooling Device and Water Blanket during Target Temperature Management in Cardiac Arrest Patients. </w:t>
      </w:r>
      <w:r w:rsidRPr="00674A7B">
        <w:rPr>
          <w:rFonts w:asciiTheme="minorHAnsi" w:eastAsia="Times New Roman" w:hAnsiTheme="minorHAnsi" w:cstheme="minorHAnsi"/>
          <w:color w:val="000000"/>
          <w:sz w:val="18"/>
          <w:szCs w:val="18"/>
          <w:lang w:val="ko-Kore-KR" w:eastAsia="ko-KR"/>
        </w:rPr>
        <w:t>Acute Crit Care</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33(4):246-251.</w:t>
      </w:r>
    </w:p>
    <w:p w:rsidR="00674A7B" w:rsidRPr="00674A7B" w:rsidRDefault="002B05CD"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hAnsiTheme="minorHAnsi" w:cstheme="minorHAnsi"/>
          <w:color w:val="000000"/>
          <w:sz w:val="18"/>
          <w:szCs w:val="18"/>
          <w:shd w:val="clear" w:color="auto" w:fill="FFFFFF"/>
        </w:rPr>
        <w:t xml:space="preserve">Lee CH, Park JH, Ahn JH, Kim JD, Cho JH, Lee TK, Won MH </w:t>
      </w:r>
      <w:r w:rsidR="005973B9" w:rsidRPr="00674A7B">
        <w:rPr>
          <w:rFonts w:asciiTheme="minorHAnsi" w:hAnsiTheme="minorHAnsi" w:cstheme="minorHAnsi"/>
          <w:sz w:val="18"/>
          <w:szCs w:val="18"/>
        </w:rPr>
        <w:t>(2</w:t>
      </w:r>
      <w:r w:rsidRPr="00674A7B">
        <w:rPr>
          <w:rFonts w:asciiTheme="minorHAnsi" w:hAnsiTheme="minorHAnsi" w:cstheme="minorHAnsi"/>
          <w:sz w:val="18"/>
          <w:szCs w:val="18"/>
        </w:rPr>
        <w:t>019</w:t>
      </w:r>
      <w:r w:rsidR="005973B9" w:rsidRPr="00674A7B">
        <w:rPr>
          <w:rFonts w:asciiTheme="minorHAnsi" w:hAnsiTheme="minorHAnsi" w:cstheme="minorHAnsi"/>
          <w:sz w:val="18"/>
          <w:szCs w:val="18"/>
        </w:rPr>
        <w:t xml:space="preserve">) </w:t>
      </w:r>
      <w:r w:rsidRPr="00674A7B">
        <w:rPr>
          <w:rFonts w:asciiTheme="minorHAnsi" w:hAnsiTheme="minorHAnsi" w:cstheme="minorHAnsi"/>
          <w:sz w:val="18"/>
          <w:szCs w:val="18"/>
        </w:rPr>
        <w:t>Stronger antioxidant enzyme immunoreactivity of</w:t>
      </w:r>
      <w:r w:rsidR="00674A7B" w:rsidRPr="00674A7B">
        <w:rPr>
          <w:rStyle w:val="apple-converted-space"/>
          <w:rFonts w:asciiTheme="minorHAnsi" w:hAnsiTheme="minorHAnsi" w:cstheme="minorHAnsi"/>
          <w:color w:val="642A8F"/>
          <w:sz w:val="18"/>
          <w:szCs w:val="18"/>
        </w:rPr>
        <w:t xml:space="preserve"> </w:t>
      </w:r>
      <w:r w:rsidRPr="00674A7B">
        <w:rPr>
          <w:rFonts w:asciiTheme="minorHAnsi" w:hAnsiTheme="minorHAnsi" w:cstheme="minorHAnsi"/>
          <w:i/>
          <w:iCs/>
          <w:sz w:val="18"/>
          <w:szCs w:val="18"/>
        </w:rPr>
        <w:t>Populus tomentiglandulosa</w:t>
      </w:r>
      <w:r w:rsidRPr="00674A7B">
        <w:rPr>
          <w:rStyle w:val="apple-converted-space"/>
          <w:rFonts w:asciiTheme="minorHAnsi" w:hAnsiTheme="minorHAnsi" w:cstheme="minorHAnsi"/>
          <w:color w:val="642A8F"/>
          <w:sz w:val="18"/>
          <w:szCs w:val="18"/>
          <w:u w:val="single"/>
        </w:rPr>
        <w:t> </w:t>
      </w:r>
      <w:r w:rsidRPr="00674A7B">
        <w:rPr>
          <w:rFonts w:asciiTheme="minorHAnsi" w:hAnsiTheme="minorHAnsi" w:cstheme="minorHAnsi"/>
          <w:sz w:val="18"/>
          <w:szCs w:val="18"/>
        </w:rPr>
        <w:t xml:space="preserve">extract than ascorbic acid in rat liver and kidney. </w:t>
      </w:r>
      <w:r w:rsidRPr="00674A7B">
        <w:rPr>
          <w:rFonts w:asciiTheme="minorHAnsi" w:eastAsia="Times New Roman" w:hAnsiTheme="minorHAnsi" w:cstheme="minorHAnsi"/>
          <w:color w:val="000000"/>
          <w:sz w:val="18"/>
          <w:szCs w:val="18"/>
          <w:lang w:val="ko-Kore-KR" w:eastAsia="ko-KR"/>
        </w:rPr>
        <w:t>Iran J Basic Med Sci</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22(8):963-967.</w:t>
      </w:r>
    </w:p>
    <w:p w:rsidR="00674A7B" w:rsidRPr="00674A7B" w:rsidRDefault="00674A7B"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Lee TK, Kim H, Song M, Lee JC, Park JH, Ahn JH, Yang GE, Kim H, Ohk TG, Shin MC, Cho JH, Won MH</w:t>
      </w:r>
      <w:r w:rsidRPr="00674A7B">
        <w:rPr>
          <w:rFonts w:asciiTheme="minorHAnsi" w:eastAsia="Times New Roman" w:hAnsiTheme="minorHAnsi" w:cstheme="minorHAnsi"/>
          <w:sz w:val="18"/>
          <w:szCs w:val="18"/>
          <w:lang w:eastAsia="ko-KR"/>
        </w:rPr>
        <w:t xml:space="preserve"> (2019) </w:t>
      </w:r>
      <w:r w:rsidRPr="00674A7B">
        <w:rPr>
          <w:rFonts w:asciiTheme="minorHAnsi" w:hAnsiTheme="minorHAnsi" w:cstheme="minorHAnsi"/>
          <w:sz w:val="18"/>
          <w:szCs w:val="18"/>
        </w:rPr>
        <w:t xml:space="preserve">Time-course pattern of neuronal loss and gliosis in gerbil hippocampi following mild, severe, or lethal transient global cerebral ischemia. </w:t>
      </w:r>
      <w:r w:rsidRPr="00674A7B">
        <w:rPr>
          <w:rFonts w:asciiTheme="minorHAnsi" w:eastAsia="Times New Roman" w:hAnsiTheme="minorHAnsi" w:cstheme="minorHAnsi"/>
          <w:color w:val="000000"/>
          <w:sz w:val="18"/>
          <w:szCs w:val="18"/>
          <w:lang w:val="ko-Kore-KR" w:eastAsia="ko-KR"/>
        </w:rPr>
        <w:t>Neural Regen Res</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14(8):1394-1403.</w:t>
      </w:r>
    </w:p>
    <w:p w:rsidR="00674A7B" w:rsidRPr="00674A7B" w:rsidRDefault="00674A7B"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Lee JH, Jung JY, Lee HJ, Kim DK, Kwak YH, Chang I, Kwon H, Choi YJ, Park JW, Paek SH, Cho JH</w:t>
      </w:r>
      <w:r w:rsidRPr="00674A7B">
        <w:rPr>
          <w:rFonts w:asciiTheme="minorHAnsi" w:eastAsia="Times New Roman" w:hAnsiTheme="minorHAnsi" w:cstheme="minorHAnsi"/>
          <w:color w:val="000000"/>
          <w:sz w:val="18"/>
          <w:szCs w:val="18"/>
          <w:shd w:val="clear" w:color="auto" w:fill="FFFFFF"/>
          <w:lang w:eastAsia="ko-KR"/>
        </w:rPr>
        <w:t xml:space="preserve"> (2019) </w:t>
      </w:r>
      <w:r w:rsidRPr="00674A7B">
        <w:rPr>
          <w:rFonts w:asciiTheme="minorHAnsi" w:hAnsiTheme="minorHAnsi" w:cstheme="minorHAnsi"/>
          <w:sz w:val="18"/>
          <w:szCs w:val="18"/>
        </w:rPr>
        <w:t xml:space="preserve">Efficacy of low-dose nebulized epinephrine as treatment for croup: A randomized, placebo-controlled, double-blind trial. </w:t>
      </w:r>
      <w:r w:rsidRPr="00674A7B">
        <w:rPr>
          <w:rFonts w:asciiTheme="minorHAnsi" w:eastAsia="Times New Roman" w:hAnsiTheme="minorHAnsi" w:cstheme="minorHAnsi"/>
          <w:color w:val="000000"/>
          <w:sz w:val="18"/>
          <w:szCs w:val="18"/>
          <w:lang w:val="ko-Kore-KR" w:eastAsia="ko-KR"/>
        </w:rPr>
        <w:t>Am J Emerg Med</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37(12):2171-2176.</w:t>
      </w:r>
    </w:p>
    <w:p w:rsidR="00AE3E37" w:rsidRPr="00674A7B" w:rsidRDefault="00674A7B"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Ahn JH, Ohk TG, Kim DW, Kim H, Song M, Lee TK, Lee JC, Yang GE, Shin MC, Cho JH, Choi SY, Won MH, Park JH</w:t>
      </w:r>
      <w:r w:rsidRPr="00674A7B">
        <w:rPr>
          <w:rFonts w:asciiTheme="minorHAnsi" w:eastAsia="Times New Roman" w:hAnsiTheme="minorHAnsi" w:cstheme="minorHAnsi"/>
          <w:color w:val="000000"/>
          <w:sz w:val="18"/>
          <w:szCs w:val="18"/>
          <w:shd w:val="clear" w:color="auto" w:fill="FFFFFF"/>
          <w:lang w:eastAsia="ko-KR"/>
        </w:rPr>
        <w:t xml:space="preserve"> (2019) </w:t>
      </w:r>
      <w:r w:rsidRPr="00674A7B">
        <w:rPr>
          <w:rFonts w:asciiTheme="minorHAnsi" w:hAnsiTheme="minorHAnsi" w:cstheme="minorHAnsi"/>
          <w:sz w:val="18"/>
          <w:szCs w:val="18"/>
        </w:rPr>
        <w:t xml:space="preserve">Fluoro-Jade B histofluorescence staining detects dentate granule cell death after repeated five-minute transient global cerebral ischemia. </w:t>
      </w:r>
      <w:r w:rsidRPr="00674A7B">
        <w:rPr>
          <w:rFonts w:asciiTheme="minorHAnsi" w:eastAsia="Times New Roman" w:hAnsiTheme="minorHAnsi" w:cstheme="minorHAnsi"/>
          <w:color w:val="000000"/>
          <w:sz w:val="18"/>
          <w:szCs w:val="18"/>
          <w:lang w:val="ko-Kore-KR" w:eastAsia="ko-KR"/>
        </w:rPr>
        <w:t>Metab Brain Dis</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34(3):951-956.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4CEE0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517781" cy="625069"/>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17781"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w:t>
      </w:r>
    </w:p>
    <w:p w:rsidR="0010100E" w:rsidRPr="0010100E" w:rsidRDefault="0010100E" w:rsidP="0010100E">
      <w:pPr>
        <w:widowControl/>
        <w:numPr>
          <w:ilvl w:val="1"/>
          <w:numId w:val="4"/>
        </w:numPr>
        <w:adjustRightInd w:val="0"/>
        <w:snapToGrid w:val="0"/>
        <w:spacing w:line="360" w:lineRule="auto"/>
        <w:ind w:left="851"/>
        <w:rPr>
          <w:rFonts w:ascii="Arial" w:eastAsia="Malgun Gothic" w:hAnsi="Arial" w:cs="Arial"/>
          <w:sz w:val="14"/>
          <w:szCs w:val="14"/>
        </w:rPr>
      </w:pPr>
      <w:r>
        <w:rPr>
          <w:rFonts w:ascii="Arial"/>
          <w:sz w:val="14"/>
        </w:rPr>
        <w:t>Jun Hwi Cho, MD, PhD is professor in department of Emergency Medicine and Neurobiology, Kangwon National University Hospital, South K</w:t>
      </w:r>
      <w:r w:rsidR="00E7179C">
        <w:rPr>
          <w:rFonts w:ascii="Arial"/>
          <w:sz w:val="14"/>
        </w:rPr>
        <w:t>orea</w:t>
      </w:r>
      <w:r>
        <w:rPr>
          <w:rFonts w:ascii="Arial"/>
          <w:sz w:val="14"/>
        </w:rPr>
        <w:t xml:space="preserve">. His major research fields are </w:t>
      </w:r>
      <w:r>
        <w:rPr>
          <w:rFonts w:ascii="Arial" w:eastAsia="Malgun Gothic" w:hAnsi="Arial" w:cs="Arial"/>
          <w:sz w:val="14"/>
          <w:szCs w:val="14"/>
        </w:rPr>
        <w:t>c</w:t>
      </w:r>
      <w:r w:rsidRPr="0010100E">
        <w:rPr>
          <w:rFonts w:ascii="Arial" w:eastAsia="Malgun Gothic" w:hAnsi="Arial" w:cs="Arial"/>
          <w:sz w:val="14"/>
          <w:szCs w:val="14"/>
        </w:rPr>
        <w:t>ardiac arrest and cardiopulmonary resuscitation (CPR) using hypothermia</w:t>
      </w:r>
      <w:r>
        <w:rPr>
          <w:rFonts w:ascii="Arial" w:eastAsia="Malgun Gothic" w:hAnsi="Arial" w:cs="Arial"/>
          <w:sz w:val="14"/>
          <w:szCs w:val="14"/>
        </w:rPr>
        <w:t>, t</w:t>
      </w:r>
      <w:r w:rsidRPr="0010100E">
        <w:rPr>
          <w:rFonts w:ascii="Arial" w:eastAsia="Malgun Gothic" w:hAnsi="Arial" w:cs="Arial"/>
          <w:sz w:val="14"/>
          <w:szCs w:val="14"/>
        </w:rPr>
        <w:t>oxicology and critical care</w:t>
      </w:r>
      <w:r>
        <w:rPr>
          <w:rFonts w:ascii="Arial" w:eastAsia="Malgun Gothic" w:hAnsi="Arial" w:cs="Arial" w:hint="eastAsia"/>
          <w:sz w:val="14"/>
          <w:szCs w:val="14"/>
        </w:rPr>
        <w:t>,</w:t>
      </w:r>
      <w:r>
        <w:rPr>
          <w:rFonts w:ascii="Arial" w:eastAsia="Malgun Gothic" w:hAnsi="Arial" w:cs="Arial"/>
          <w:sz w:val="14"/>
          <w:szCs w:val="14"/>
        </w:rPr>
        <w:t xml:space="preserve"> e</w:t>
      </w:r>
      <w:r w:rsidRPr="0010100E">
        <w:rPr>
          <w:rFonts w:ascii="Arial" w:eastAsia="Malgun Gothic" w:hAnsi="Arial" w:cs="Arial"/>
          <w:sz w:val="14"/>
          <w:szCs w:val="14"/>
        </w:rPr>
        <w:t>xperimental ischemic stroke: about neuronal damage and protection in the ischemic brain</w:t>
      </w:r>
      <w:r>
        <w:rPr>
          <w:rFonts w:ascii="Arial" w:eastAsia="Malgun Gothic" w:hAnsi="Arial" w:cs="Arial"/>
          <w:sz w:val="14"/>
          <w:szCs w:val="14"/>
        </w:rPr>
        <w:t>, c</w:t>
      </w:r>
      <w:r w:rsidRPr="0010100E">
        <w:rPr>
          <w:rFonts w:ascii="Arial" w:eastAsia="Malgun Gothic" w:hAnsi="Arial" w:cs="Arial"/>
          <w:sz w:val="14"/>
          <w:szCs w:val="14"/>
        </w:rPr>
        <w:t>ardiopulmonary resuscitation using rat VF model &amp; asphyxia model</w:t>
      </w:r>
      <w:r>
        <w:rPr>
          <w:rFonts w:ascii="Arial" w:eastAsia="Malgun Gothic" w:hAnsi="Arial" w:cs="Arial"/>
          <w:sz w:val="14"/>
          <w:szCs w:val="14"/>
        </w:rPr>
        <w:t xml:space="preserve"> and h</w:t>
      </w:r>
      <w:r w:rsidRPr="0010100E">
        <w:rPr>
          <w:rFonts w:ascii="Arial" w:eastAsia="Malgun Gothic" w:hAnsi="Arial" w:cs="Arial"/>
          <w:sz w:val="14"/>
          <w:szCs w:val="14"/>
        </w:rPr>
        <w:t>istopathological research after cardiac arrest in animal model of cardiac arrest</w:t>
      </w:r>
      <w:r>
        <w:rPr>
          <w:rFonts w:ascii="Arial" w:eastAsia="Malgun Gothic" w:hAnsi="Arial" w:cs="Arial"/>
          <w:sz w:val="14"/>
          <w:szCs w:val="14"/>
        </w:rPr>
        <w:t xml:space="preserve">. He interest in </w:t>
      </w:r>
      <w:r w:rsidR="002D58A6">
        <w:rPr>
          <w:rFonts w:ascii="Arial" w:eastAsia="Malgun Gothic" w:hAnsi="Arial" w:cs="Arial"/>
          <w:sz w:val="14"/>
          <w:szCs w:val="14"/>
        </w:rPr>
        <w:t>n</w:t>
      </w:r>
      <w:r w:rsidRPr="0010100E">
        <w:rPr>
          <w:rFonts w:ascii="Arial" w:eastAsia="Malgun Gothic" w:hAnsi="Arial" w:cs="Arial"/>
          <w:sz w:val="14"/>
          <w:szCs w:val="14"/>
        </w:rPr>
        <w:t xml:space="preserve">euronal protection using therapeutic hypothermia during CPR with patient of </w:t>
      </w:r>
      <w:r w:rsidRPr="0010100E">
        <w:rPr>
          <w:rFonts w:ascii="Arial" w:eastAsia="Malgun Gothic" w:hAnsi="Arial" w:cs="Arial"/>
          <w:sz w:val="14"/>
          <w:szCs w:val="14"/>
        </w:rPr>
        <w:lastRenderedPageBreak/>
        <w:t>cardiac arrest</w:t>
      </w:r>
      <w:r w:rsidR="002D58A6">
        <w:rPr>
          <w:rFonts w:ascii="Arial" w:eastAsia="Malgun Gothic" w:hAnsi="Arial" w:cs="Arial" w:hint="eastAsia"/>
          <w:sz w:val="14"/>
          <w:szCs w:val="14"/>
        </w:rPr>
        <w:t xml:space="preserve"> </w:t>
      </w:r>
      <w:r w:rsidR="002D58A6">
        <w:rPr>
          <w:rFonts w:ascii="Arial" w:eastAsia="Malgun Gothic" w:hAnsi="Arial" w:cs="Arial"/>
          <w:sz w:val="14"/>
          <w:szCs w:val="14"/>
        </w:rPr>
        <w:t>and m</w:t>
      </w:r>
      <w:r w:rsidRPr="0010100E">
        <w:rPr>
          <w:rFonts w:ascii="Arial" w:eastAsia="Malgun Gothic" w:hAnsi="Arial" w:cs="Arial"/>
          <w:sz w:val="14"/>
          <w:szCs w:val="14"/>
        </w:rPr>
        <w:t xml:space="preserve">edicines for neuroprotection, neurogenesis and anti-aging in the CNS: </w:t>
      </w:r>
      <w:r w:rsidR="002D58A6">
        <w:rPr>
          <w:rFonts w:ascii="Arial" w:eastAsia="Malgun Gothic" w:hAnsi="Arial" w:cs="Arial"/>
          <w:sz w:val="14"/>
          <w:szCs w:val="14"/>
        </w:rPr>
        <w:t>He</w:t>
      </w:r>
      <w:r w:rsidRPr="0010100E">
        <w:rPr>
          <w:rFonts w:ascii="Arial" w:eastAsia="Malgun Gothic" w:hAnsi="Arial" w:cs="Arial"/>
          <w:sz w:val="14"/>
          <w:szCs w:val="14"/>
        </w:rPr>
        <w:t xml:space="preserve"> ha</w:t>
      </w:r>
      <w:r w:rsidR="002D58A6">
        <w:rPr>
          <w:rFonts w:ascii="Arial" w:eastAsia="Malgun Gothic" w:hAnsi="Arial" w:cs="Arial"/>
          <w:sz w:val="14"/>
          <w:szCs w:val="14"/>
        </w:rPr>
        <w:t>s</w:t>
      </w:r>
      <w:r w:rsidRPr="0010100E">
        <w:rPr>
          <w:rFonts w:ascii="Arial" w:eastAsia="Malgun Gothic" w:hAnsi="Arial" w:cs="Arial"/>
          <w:sz w:val="14"/>
          <w:szCs w:val="14"/>
        </w:rPr>
        <w:t xml:space="preserve"> examined many medicines including extracts of foods and plants that protect neuronal damage or aging and enhance neurogenesis </w:t>
      </w:r>
    </w:p>
    <w:p w:rsidR="0010100E" w:rsidRPr="0010100E" w:rsidRDefault="0010100E" w:rsidP="0010100E">
      <w:pPr>
        <w:pStyle w:val="20"/>
        <w:wordWrap/>
        <w:adjustRightInd w:val="0"/>
        <w:spacing w:line="360" w:lineRule="auto"/>
        <w:ind w:left="491" w:firstLineChars="0" w:firstLine="0"/>
        <w:rPr>
          <w:rFonts w:ascii="Arial" w:eastAsia="Malgun Gothic" w:hAnsi="Arial" w:cs="Arial"/>
          <w:sz w:val="14"/>
          <w:szCs w:val="14"/>
        </w:rPr>
      </w:pP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Style w:val="a8"/>
          <w:rFonts w:ascii="Arial"/>
          <w:sz w:val="14"/>
        </w:rPr>
      </w:pPr>
      <w:r>
        <w:rPr>
          <w:rFonts w:ascii="Arial"/>
          <w:sz w:val="14"/>
        </w:rPr>
        <w:t xml:space="preserve">Email: </w:t>
      </w:r>
      <w:hyperlink r:id="rId10" w:history="1">
        <w:r w:rsidR="0010100E" w:rsidRPr="00DF6333">
          <w:rPr>
            <w:rStyle w:val="a8"/>
            <w:rFonts w:ascii="Arial"/>
            <w:sz w:val="14"/>
          </w:rPr>
          <w:t>cjhemd@kangwon.ac.kr</w:t>
        </w:r>
      </w:hyperlink>
      <w:r w:rsidR="0010100E">
        <w:rPr>
          <w:rFonts w:ascii="Arial"/>
          <w:sz w:val="14"/>
        </w:rPr>
        <w:t xml:space="preserve"> </w:t>
      </w:r>
    </w:p>
    <w:p w:rsidR="00827B1F" w:rsidRPr="00827B1F" w:rsidRDefault="00827B1F">
      <w:pPr>
        <w:spacing w:before="62"/>
        <w:ind w:left="4217" w:right="4235"/>
        <w:jc w:val="center"/>
        <w:rPr>
          <w:rFonts w:ascii="Arial"/>
          <w:sz w:val="14"/>
        </w:rPr>
      </w:pPr>
      <w:r w:rsidRPr="00827B1F">
        <w:rPr>
          <w:rStyle w:val="a8"/>
          <w:rFonts w:ascii="Arial"/>
          <w:color w:val="auto"/>
          <w:sz w:val="14"/>
          <w:u w:val="none"/>
        </w:rPr>
        <w:t xml:space="preserve">Phone: </w:t>
      </w:r>
      <w:r>
        <w:rPr>
          <w:rStyle w:val="a8"/>
          <w:rFonts w:ascii="Arial"/>
          <w:color w:val="auto"/>
          <w:sz w:val="14"/>
          <w:u w:val="none"/>
        </w:rPr>
        <w:t>+</w:t>
      </w:r>
      <w:r w:rsidR="0010100E">
        <w:rPr>
          <w:rStyle w:val="a8"/>
          <w:rFonts w:ascii="Arial"/>
          <w:color w:val="auto"/>
          <w:sz w:val="14"/>
          <w:u w:val="none"/>
        </w:rPr>
        <w:t>82</w:t>
      </w:r>
      <w:r>
        <w:rPr>
          <w:rStyle w:val="a8"/>
          <w:rFonts w:ascii="Arial"/>
          <w:color w:val="auto"/>
          <w:sz w:val="14"/>
          <w:u w:val="none"/>
        </w:rPr>
        <w:t>-</w:t>
      </w:r>
      <w:r w:rsidR="0010100E">
        <w:rPr>
          <w:rStyle w:val="a8"/>
          <w:rFonts w:ascii="Arial"/>
          <w:color w:val="auto"/>
          <w:sz w:val="14"/>
          <w:u w:val="none"/>
        </w:rPr>
        <w:t>10</w:t>
      </w:r>
      <w:r>
        <w:rPr>
          <w:rStyle w:val="a8"/>
          <w:rFonts w:ascii="Arial"/>
          <w:color w:val="auto"/>
          <w:sz w:val="14"/>
          <w:u w:val="none"/>
        </w:rPr>
        <w:t>-</w:t>
      </w:r>
      <w:r w:rsidR="0010100E">
        <w:rPr>
          <w:rStyle w:val="a8"/>
          <w:rFonts w:ascii="Arial"/>
          <w:color w:val="auto"/>
          <w:sz w:val="14"/>
          <w:u w:val="none"/>
        </w:rPr>
        <w:t>010</w:t>
      </w:r>
      <w:r>
        <w:rPr>
          <w:rStyle w:val="a8"/>
          <w:rFonts w:ascii="Arial"/>
          <w:color w:val="auto"/>
          <w:sz w:val="14"/>
          <w:u w:val="none"/>
        </w:rPr>
        <w:t>-</w:t>
      </w:r>
      <w:r w:rsidR="0010100E">
        <w:rPr>
          <w:rStyle w:val="a8"/>
          <w:rFonts w:ascii="Arial"/>
          <w:color w:val="auto"/>
          <w:sz w:val="14"/>
          <w:u w:val="none"/>
        </w:rPr>
        <w:t>5910</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BA34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rsidR="00AE3E37" w:rsidRDefault="00AE3E37">
      <w:pPr>
        <w:pStyle w:val="a3"/>
        <w:rPr>
          <w:rFonts w:ascii="Arial"/>
          <w:sz w:val="20"/>
        </w:rPr>
      </w:pPr>
    </w:p>
    <w:p w:rsidR="00AE3E37" w:rsidRPr="00B21A57" w:rsidRDefault="00A9710C" w:rsidP="002B05CD">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79E0" w:rsidRDefault="003079E0">
      <w:r>
        <w:separator/>
      </w:r>
    </w:p>
  </w:endnote>
  <w:endnote w:type="continuationSeparator" w:id="0">
    <w:p w:rsidR="003079E0" w:rsidRDefault="00307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0"/>
    <w:family w:val="decorative"/>
    <w:pitch w:val="variable"/>
    <w:sig w:usb0="00000003" w:usb1="00000000" w:usb2="00000000" w:usb3="00000000" w:csb0="8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바탕체">
    <w:altName w:val="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A206wEAAL0DAAAOAAAAZHJzL2Uyb0RvYy54bWysU9tu2zAMfR+wfxD0vjhxi6I14hRdiw4D&#13;&#10;ugvQ7gNoWY6F2aJGKbGzrx8lx2m3vhV7ESiKOjrnkFpfj30n9pq8QVvK1WIphbYKa2O3pfzxdP/h&#13;&#10;UgofwNbQodWlPGgvrzfv360HV+gcW+xqTYJBrC8GV8o2BFdkmVet7sEv0GnLhw1SD4G3tM1qgoHR&#13;&#10;+y7Ll8uLbECqHaHS3nP2bjqUm4TfNFqFb03jdRBdKZlbSCultYprtllDsSVwrVFHGvAGFj0Yy4+e&#13;&#10;oO4ggNiReQXVG0XosQkLhX2GTWOUThpYzWr5j5rHFpxOWtgc7042+f8Hq77uv5MwdSmvpLDQc4ue&#13;&#10;9BjERxzFWXRncL7gokfHZWHkNHc5KfXuAdVPLyzetmC3+oYIh1ZDzexW8Wb24uqE4yNINXzBmp+B&#13;&#10;XcAENDbUR+vYDMHo3KXDqTORiuJkvjq7WJ3zkeKz/PzyKk+ty6CYbzvy4ZPGXsSglMSdT+iwf/Ah&#13;&#10;soFiLomPWbw3XZe639m/ElwYM4l9JDxRD2M1JpuStKiswvrAcginmeI/wEGL9FuKgeeplP7XDkhL&#13;&#10;0X22bEkcvjmgOajmAKziq6UMUkzhbZiGdOfIbFtGnky3eMO2NSYpemZxpMszkoQe5zkO4ct9qnr+&#13;&#10;dZs/AA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ASMA206wEAAL0DAAAOAAAAAAAAAAAAAAAAAC4CAABkcnMv&#13;&#10;ZTJvRG9jLnhtbFBLAQItABQABgAIAAAAIQAFltnu5QAAABEBAAAPAAAAAAAAAAAAAAAAAEUEAABk&#13;&#10;cnMvZG93bnJldi54bWxQSwUGAAAAAAQABADzAAAAVwU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p2I6QEAAL0DAAAOAAAAZHJzL2Uyb0RvYy54bWysU8Fu2zAMvQ/YPwi6L45TLCuMOEXXosOA&#13;&#10;bivQ7gNoWY6F2aJGKbGzrx8lx1m33opdBIqkHh8fqc3V2HfioMkbtKXMF0sptFVYG7sr5fenu3eX&#13;&#10;UvgAtoYOrS7lUXt5tX37ZjO4Qq+wxa7WJBjE+mJwpWxDcEWWedXqHvwCnbYcbJB6CHylXVYTDIze&#13;&#10;d9lquVxnA1LtCJX2nr23U1BuE37TaBW+NY3XQXSlZG4hnZTOKp7ZdgPFjsC1Rp1owCtY9GAsFz1D&#13;&#10;3UIAsSfzAqo3itBjExYK+wybxiideuBu8uU/3Ty24HTqhcXx7iyT/3+w6uvhgYSpS8mDstDziJ70&#13;&#10;GMRHHMUqqjM4X3DSo+O0MLKbp5w69e4e1Q8vLN60YHf6mgiHVkPN7PL4Mnv2dMLxEaQavmDNZWAf&#13;&#10;MAGNDfVROhZDMDpP6XieTKSiYsl8/SG/4JDi2EW+vly/TyWgmF878uGTxl5Eo5TEk0/ocLj3IbKB&#13;&#10;Yk6JxSzema5L0+/sXw5OjJ7EPhKeqIexGpNMZ1EqrI/cDuG0U/wH2GiRfkkx8D6V0v/cA2kpus+W&#13;&#10;JYnLNxs0G9VsgFX8tJRBism8CdOS7h2ZXcvIk+gWr1m2xqSOor4TixNd3pHU6Gmf4xI+v6esP79u&#13;&#10;+xsAAP//AwBQSwMEFAAGAAgAAAAhAApQz0nlAAAAEgEAAA8AAABkcnMvZG93bnJldi54bWxMT01v&#13;&#10;wjAMvU/iP0RG2m0kIKhKaYrQPk6TppXusGPahDaicbomQPfv5522i2X7PT+/l+8n17OrGYP1KGG5&#13;&#10;EMAMNl5bbCV8VC8PKbAQFWrVezQSvk2AfTG7y1Wm/Q1Lcz3GlpEIhkxJ6GIcMs5D0xmnwsIPBgk7&#13;&#10;+dGpSOPYcj2qG4m7nq+ESLhTFulDpwbz2JnmfLw4CYdPLJ/t11v9Xp5KW1Vbga/JWcr7+fS0o3LY&#13;&#10;AYtmin8X8JuB/ENBxmp/QR1YL2Ej1iuiErDZpktgREnSlDLWtErW1PEi5/+jFD8AAAD//wMAUEsB&#13;&#10;Ai0AFAAGAAgAAAAhALaDOJL+AAAA4QEAABMAAAAAAAAAAAAAAAAAAAAAAFtDb250ZW50X1R5cGVz&#13;&#10;XS54bWxQSwECLQAUAAYACAAAACEAOP0h/9YAAACUAQAACwAAAAAAAAAAAAAAAAAvAQAAX3JlbHMv&#13;&#10;LnJlbHNQSwECLQAUAAYACAAAACEApaKdiOkBAAC9AwAADgAAAAAAAAAAAAAAAAAuAgAAZHJzL2Uy&#13;&#10;b0RvYy54bWxQSwECLQAUAAYACAAAACEAClDPSeUAAAASAQAADwAAAAAAAAAAAAAAAABDBAAAZHJz&#13;&#10;L2Rvd25yZXYueG1sUEsFBgAAAAAEAAQA8wAAAFUF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mHq6QEAAL0DAAAOAAAAZHJzL2Uyb0RvYy54bWysU9tu2zAMfR+wfxD0vthpsDYw4hRdiw4D&#13;&#10;ugvQ7gMUWbKFWaJGKbGzrx8lx1nXvg17ESiSOjw8pDbXo+3ZQWEw4Gq+XJScKSehMa6t+fen+3dr&#13;&#10;zkIUrhE9OFXzowr8evv2zWbwlbqADvpGISMQF6rB17yL0VdFEWSnrAgL8MpRUANaEemKbdGgGAjd&#13;&#10;9sVFWV4WA2DjEaQKgbx3U5BvM77WSsavWgcVWV9z4hbzifncpbPYbkTVovCdkSca4h9YWGEcFT1D&#13;&#10;3Yko2B7NKyhrJEIAHRcSbAFaG6lyD9TNsnzRzWMnvMq9kDjBn2UK/w9Wfjl8Q2aaml9x5oSlET2p&#13;&#10;MbIPMLJlUmfwoaKkR09pcSQ3TTl3GvwDyB+BObjthGvVDSIMnRINscsvi2dPJ5yQQHbDZ2iojNhH&#13;&#10;yECjRpukIzEYodOUjufJJCoylVxelldrCkmKrVblevU+kStENb/2GOJHBZYlo+ZIk8/o4vAQ4pQ6&#13;&#10;p6RiDu5N3+fp9+4vB2EmT2afCE/U47gbs0yrWZQdNEdqB2HaKfoDZHSAvzgbaJ9qHn7uBSrO+k+O&#13;&#10;JEnLNxs4G7vZEE7S05pHzibzNk5Luvdo2o6QJ9Ed3JBs2uSOkr4TixNd2pGsyWmf0xI+v+esP79u&#13;&#10;+xs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8S5h6u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79E0" w:rsidRDefault="003079E0">
      <w:r>
        <w:separator/>
      </w:r>
    </w:p>
  </w:footnote>
  <w:footnote w:type="continuationSeparator" w:id="0">
    <w:p w:rsidR="003079E0" w:rsidRDefault="00307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UES6AEAALcDAAAOAAAAZHJzL2Uyb0RvYy54bWysU8GO0zAQvSPxD5bvNG1FC0RNV8uuFiEt&#13;&#10;LNIuHzBxnMQi8Zix26R8PWOnKQvcEBdrMp55fvPmZXc19p04avIGbSFXi6UU2iqsjG0K+fXp7tVb&#13;&#10;KXwAW0GHVhfypL282r98sRtcrtfYYldpEgxifT64QrYhuDzLvGp1D36BTlu+rJF6CPxJTVYRDIze&#13;&#10;d9l6udxmA1LlCJX2nrO306XcJ/y61io81LXXQXSFZG4hnZTOMp7Zfgd5Q+Bao8404B9Y9GAsP3qB&#13;&#10;uoUA4kDmL6jeKEKPdVgo7DOsa6N0moGnWS3/mOaxBafTLCyOdxeZ/P+DVZ+PX0iYinfH8ljoeUdP&#13;&#10;egziPY7idZRncD7nqkfHdWHkNJemUb27R/XNC4s3LdhGXxPh0GqomN4qdmbPWiccH0HK4RNW/Awc&#13;&#10;AiagsaY+asdqCEZnHqfLaiIVxcntZrPebDdSKL7bLN+t36TdZZDP3Y58+KCxFzEoJPHqEzoc732I&#13;&#10;bCCfS+JjFu9M16X1d/a3BBfGTGIfCU/Uw1iOZzVKrE48B+HkJnY/By3SDykGdlIh/fcDkJai+2hZ&#13;&#10;i2i7OaA5KOcArOLWQgYppvAmTPY8ODJNy8iT2havWa/apFGisBOLM092R5rw7ORov+ffqerX/7b/&#13;&#10;CQAA//8DAFBLAwQUAAYACAAAACEAnrOmveMAAAAPAQAADwAAAGRycy9kb3ducmV2LnhtbEyPMU/D&#13;&#10;MBCFd6T+B+uQ2KgdhrRJ41RVgQkJkYaB0YndxGp8DrHbhn/PdYLldKen9+59xXZ2A7uYKViPEpKl&#13;&#10;AGaw9dpiJ+Gzfn1cAwtRoVaDRyPhxwTYlou7QuXaX7Eyl0PsGIVgyJWEPsYx5zy0vXEqLP1okLSj&#13;&#10;n5yKdE4d15O6Urgb+JMQKXfKIn3o1Wj2vWlPh7OTsPvC6sV+vzcf1bGydZ0JfEtPUj7cz88bGrsN&#13;&#10;sGjm+OeAGwP1h5KKNf6MOrBBwkoQT5SQpSmwm56IJAPW0LZK18DLgv/nKH8BAAD//wMAUEsBAi0A&#13;&#10;FAAGAAgAAAAhALaDOJL+AAAA4QEAABMAAAAAAAAAAAAAAAAAAAAAAFtDb250ZW50X1R5cGVzXS54&#13;&#10;bWxQSwECLQAUAAYACAAAACEAOP0h/9YAAACUAQAACwAAAAAAAAAAAAAAAAAvAQAAX3JlbHMvLnJl&#13;&#10;bHNQSwECLQAUAAYACAAAACEAsUFBEugBAAC3AwAADgAAAAAAAAAAAAAAAAAuAgAAZHJzL2Uyb0Rv&#13;&#10;Yy54bWxQSwECLQAUAAYACAAAACEAnrOmveMAAAAPAQAADwAAAAAAAAAAAAAAAABCBAAAZHJzL2Rv&#13;&#10;d25yZXYueG1sUEsFBgAAAAAEAAQA8wAAAFIFA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E3461BD"/>
    <w:multiLevelType w:val="hybridMultilevel"/>
    <w:tmpl w:val="1F94D9FC"/>
    <w:lvl w:ilvl="0" w:tplc="04090003">
      <w:start w:val="1"/>
      <w:numFmt w:val="bullet"/>
      <w:lvlText w:val="o"/>
      <w:lvlJc w:val="left"/>
      <w:pPr>
        <w:ind w:left="1160" w:hanging="360"/>
      </w:pPr>
      <w:rPr>
        <w:rFonts w:ascii="Courier New" w:hAnsi="Courier New" w:cs="Courier New" w:hint="default"/>
      </w:rPr>
    </w:lvl>
    <w:lvl w:ilvl="1" w:tplc="4C2224D2">
      <w:numFmt w:val="bullet"/>
      <w:lvlText w:val="-"/>
      <w:lvlJc w:val="left"/>
      <w:pPr>
        <w:ind w:left="1560" w:hanging="360"/>
      </w:pPr>
      <w:rPr>
        <w:rFonts w:ascii="Times New Roman" w:eastAsia="Malgun Gothic" w:hAnsi="Times New Roman" w:cs="Times New Roman"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6"/>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4818"/>
    <w:rsid w:val="000642C6"/>
    <w:rsid w:val="00064A63"/>
    <w:rsid w:val="00065718"/>
    <w:rsid w:val="000E2911"/>
    <w:rsid w:val="0010100E"/>
    <w:rsid w:val="001263DF"/>
    <w:rsid w:val="002220FB"/>
    <w:rsid w:val="00287DFF"/>
    <w:rsid w:val="00292ED9"/>
    <w:rsid w:val="002B05CD"/>
    <w:rsid w:val="002D58A6"/>
    <w:rsid w:val="003079E0"/>
    <w:rsid w:val="00355A94"/>
    <w:rsid w:val="00404E5B"/>
    <w:rsid w:val="00414F7B"/>
    <w:rsid w:val="004355DC"/>
    <w:rsid w:val="004749B4"/>
    <w:rsid w:val="00494130"/>
    <w:rsid w:val="004F3523"/>
    <w:rsid w:val="005973B9"/>
    <w:rsid w:val="005B3A56"/>
    <w:rsid w:val="006060CE"/>
    <w:rsid w:val="0063497F"/>
    <w:rsid w:val="00674A7B"/>
    <w:rsid w:val="006910C5"/>
    <w:rsid w:val="0072306A"/>
    <w:rsid w:val="00727100"/>
    <w:rsid w:val="00791905"/>
    <w:rsid w:val="00827B1F"/>
    <w:rsid w:val="0084444E"/>
    <w:rsid w:val="00873DF0"/>
    <w:rsid w:val="008756E6"/>
    <w:rsid w:val="009B2D44"/>
    <w:rsid w:val="00A07E82"/>
    <w:rsid w:val="00A62401"/>
    <w:rsid w:val="00A9710C"/>
    <w:rsid w:val="00AE3E37"/>
    <w:rsid w:val="00AF7CAF"/>
    <w:rsid w:val="00B21A57"/>
    <w:rsid w:val="00C33602"/>
    <w:rsid w:val="00CC00DB"/>
    <w:rsid w:val="00CD6F55"/>
    <w:rsid w:val="00DE3104"/>
    <w:rsid w:val="00E029EB"/>
    <w:rsid w:val="00E7179C"/>
    <w:rsid w:val="00F534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B171B-0E94-6947-AA3A-F8043576B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jrnl">
    <w:name w:val="jrnl"/>
    <w:basedOn w:val="a0"/>
    <w:rsid w:val="002B05CD"/>
  </w:style>
  <w:style w:type="character" w:customStyle="1" w:styleId="apple-converted-space">
    <w:name w:val="apple-converted-space"/>
    <w:basedOn w:val="a0"/>
    <w:rsid w:val="002B05CD"/>
  </w:style>
  <w:style w:type="character" w:styleId="a9">
    <w:name w:val="FollowedHyperlink"/>
    <w:basedOn w:val="a0"/>
    <w:uiPriority w:val="99"/>
    <w:semiHidden/>
    <w:unhideWhenUsed/>
    <w:rsid w:val="00674A7B"/>
    <w:rPr>
      <w:color w:val="800080" w:themeColor="followedHyperlink"/>
      <w:u w:val="single"/>
    </w:rPr>
  </w:style>
  <w:style w:type="character" w:styleId="aa">
    <w:name w:val="Unresolved Mention"/>
    <w:basedOn w:val="a0"/>
    <w:uiPriority w:val="99"/>
    <w:semiHidden/>
    <w:unhideWhenUsed/>
    <w:rsid w:val="0010100E"/>
    <w:rPr>
      <w:color w:val="605E5C"/>
      <w:shd w:val="clear" w:color="auto" w:fill="E1DFDD"/>
    </w:rPr>
  </w:style>
  <w:style w:type="paragraph" w:customStyle="1" w:styleId="20">
    <w:name w:val="논문본문2"/>
    <w:basedOn w:val="a"/>
    <w:rsid w:val="0010100E"/>
    <w:pPr>
      <w:wordWrap w:val="0"/>
      <w:autoSpaceDE w:val="0"/>
      <w:autoSpaceDN w:val="0"/>
      <w:snapToGrid w:val="0"/>
      <w:spacing w:line="480" w:lineRule="auto"/>
      <w:ind w:firstLineChars="150" w:firstLine="360"/>
      <w:jc w:val="both"/>
    </w:pPr>
    <w:rPr>
      <w:rFonts w:ascii="Times New Roman" w:eastAsia="Batang" w:hAnsi="Times New Roman" w:cs="Times New Roman"/>
      <w:kern w:val="2"/>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3395">
      <w:bodyDiv w:val="1"/>
      <w:marLeft w:val="0"/>
      <w:marRight w:val="0"/>
      <w:marTop w:val="0"/>
      <w:marBottom w:val="0"/>
      <w:divBdr>
        <w:top w:val="none" w:sz="0" w:space="0" w:color="auto"/>
        <w:left w:val="none" w:sz="0" w:space="0" w:color="auto"/>
        <w:bottom w:val="none" w:sz="0" w:space="0" w:color="auto"/>
        <w:right w:val="none" w:sz="0" w:space="0" w:color="auto"/>
      </w:divBdr>
    </w:div>
    <w:div w:id="70202915">
      <w:bodyDiv w:val="1"/>
      <w:marLeft w:val="0"/>
      <w:marRight w:val="0"/>
      <w:marTop w:val="0"/>
      <w:marBottom w:val="0"/>
      <w:divBdr>
        <w:top w:val="none" w:sz="0" w:space="0" w:color="auto"/>
        <w:left w:val="none" w:sz="0" w:space="0" w:color="auto"/>
        <w:bottom w:val="none" w:sz="0" w:space="0" w:color="auto"/>
        <w:right w:val="none" w:sz="0" w:space="0" w:color="auto"/>
      </w:divBdr>
    </w:div>
    <w:div w:id="234632032">
      <w:bodyDiv w:val="1"/>
      <w:marLeft w:val="0"/>
      <w:marRight w:val="0"/>
      <w:marTop w:val="0"/>
      <w:marBottom w:val="0"/>
      <w:divBdr>
        <w:top w:val="none" w:sz="0" w:space="0" w:color="auto"/>
        <w:left w:val="none" w:sz="0" w:space="0" w:color="auto"/>
        <w:bottom w:val="none" w:sz="0" w:space="0" w:color="auto"/>
        <w:right w:val="none" w:sz="0" w:space="0" w:color="auto"/>
      </w:divBdr>
    </w:div>
    <w:div w:id="290943524">
      <w:bodyDiv w:val="1"/>
      <w:marLeft w:val="0"/>
      <w:marRight w:val="0"/>
      <w:marTop w:val="0"/>
      <w:marBottom w:val="0"/>
      <w:divBdr>
        <w:top w:val="none" w:sz="0" w:space="0" w:color="auto"/>
        <w:left w:val="none" w:sz="0" w:space="0" w:color="auto"/>
        <w:bottom w:val="none" w:sz="0" w:space="0" w:color="auto"/>
        <w:right w:val="none" w:sz="0" w:space="0" w:color="auto"/>
      </w:divBdr>
    </w:div>
    <w:div w:id="367069090">
      <w:bodyDiv w:val="1"/>
      <w:marLeft w:val="0"/>
      <w:marRight w:val="0"/>
      <w:marTop w:val="0"/>
      <w:marBottom w:val="0"/>
      <w:divBdr>
        <w:top w:val="none" w:sz="0" w:space="0" w:color="auto"/>
        <w:left w:val="none" w:sz="0" w:space="0" w:color="auto"/>
        <w:bottom w:val="none" w:sz="0" w:space="0" w:color="auto"/>
        <w:right w:val="none" w:sz="0" w:space="0" w:color="auto"/>
      </w:divBdr>
    </w:div>
    <w:div w:id="382415049">
      <w:bodyDiv w:val="1"/>
      <w:marLeft w:val="0"/>
      <w:marRight w:val="0"/>
      <w:marTop w:val="0"/>
      <w:marBottom w:val="0"/>
      <w:divBdr>
        <w:top w:val="none" w:sz="0" w:space="0" w:color="auto"/>
        <w:left w:val="none" w:sz="0" w:space="0" w:color="auto"/>
        <w:bottom w:val="none" w:sz="0" w:space="0" w:color="auto"/>
        <w:right w:val="none" w:sz="0" w:space="0" w:color="auto"/>
      </w:divBdr>
    </w:div>
    <w:div w:id="383793011">
      <w:bodyDiv w:val="1"/>
      <w:marLeft w:val="0"/>
      <w:marRight w:val="0"/>
      <w:marTop w:val="0"/>
      <w:marBottom w:val="0"/>
      <w:divBdr>
        <w:top w:val="none" w:sz="0" w:space="0" w:color="auto"/>
        <w:left w:val="none" w:sz="0" w:space="0" w:color="auto"/>
        <w:bottom w:val="none" w:sz="0" w:space="0" w:color="auto"/>
        <w:right w:val="none" w:sz="0" w:space="0" w:color="auto"/>
      </w:divBdr>
    </w:div>
    <w:div w:id="487864964">
      <w:bodyDiv w:val="1"/>
      <w:marLeft w:val="0"/>
      <w:marRight w:val="0"/>
      <w:marTop w:val="0"/>
      <w:marBottom w:val="0"/>
      <w:divBdr>
        <w:top w:val="none" w:sz="0" w:space="0" w:color="auto"/>
        <w:left w:val="none" w:sz="0" w:space="0" w:color="auto"/>
        <w:bottom w:val="none" w:sz="0" w:space="0" w:color="auto"/>
        <w:right w:val="none" w:sz="0" w:space="0" w:color="auto"/>
      </w:divBdr>
    </w:div>
    <w:div w:id="518159657">
      <w:bodyDiv w:val="1"/>
      <w:marLeft w:val="0"/>
      <w:marRight w:val="0"/>
      <w:marTop w:val="0"/>
      <w:marBottom w:val="0"/>
      <w:divBdr>
        <w:top w:val="none" w:sz="0" w:space="0" w:color="auto"/>
        <w:left w:val="none" w:sz="0" w:space="0" w:color="auto"/>
        <w:bottom w:val="none" w:sz="0" w:space="0" w:color="auto"/>
        <w:right w:val="none" w:sz="0" w:space="0" w:color="auto"/>
      </w:divBdr>
    </w:div>
    <w:div w:id="5224012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6640891">
      <w:bodyDiv w:val="1"/>
      <w:marLeft w:val="0"/>
      <w:marRight w:val="0"/>
      <w:marTop w:val="0"/>
      <w:marBottom w:val="0"/>
      <w:divBdr>
        <w:top w:val="none" w:sz="0" w:space="0" w:color="auto"/>
        <w:left w:val="none" w:sz="0" w:space="0" w:color="auto"/>
        <w:bottom w:val="none" w:sz="0" w:space="0" w:color="auto"/>
        <w:right w:val="none" w:sz="0" w:space="0" w:color="auto"/>
      </w:divBdr>
    </w:div>
    <w:div w:id="791486635">
      <w:bodyDiv w:val="1"/>
      <w:marLeft w:val="0"/>
      <w:marRight w:val="0"/>
      <w:marTop w:val="0"/>
      <w:marBottom w:val="0"/>
      <w:divBdr>
        <w:top w:val="none" w:sz="0" w:space="0" w:color="auto"/>
        <w:left w:val="none" w:sz="0" w:space="0" w:color="auto"/>
        <w:bottom w:val="none" w:sz="0" w:space="0" w:color="auto"/>
        <w:right w:val="none" w:sz="0" w:space="0" w:color="auto"/>
      </w:divBdr>
    </w:div>
    <w:div w:id="925576897">
      <w:bodyDiv w:val="1"/>
      <w:marLeft w:val="0"/>
      <w:marRight w:val="0"/>
      <w:marTop w:val="0"/>
      <w:marBottom w:val="0"/>
      <w:divBdr>
        <w:top w:val="none" w:sz="0" w:space="0" w:color="auto"/>
        <w:left w:val="none" w:sz="0" w:space="0" w:color="auto"/>
        <w:bottom w:val="none" w:sz="0" w:space="0" w:color="auto"/>
        <w:right w:val="none" w:sz="0" w:space="0" w:color="auto"/>
      </w:divBdr>
    </w:div>
    <w:div w:id="1168134079">
      <w:bodyDiv w:val="1"/>
      <w:marLeft w:val="0"/>
      <w:marRight w:val="0"/>
      <w:marTop w:val="0"/>
      <w:marBottom w:val="0"/>
      <w:divBdr>
        <w:top w:val="none" w:sz="0" w:space="0" w:color="auto"/>
        <w:left w:val="none" w:sz="0" w:space="0" w:color="auto"/>
        <w:bottom w:val="none" w:sz="0" w:space="0" w:color="auto"/>
        <w:right w:val="none" w:sz="0" w:space="0" w:color="auto"/>
      </w:divBdr>
    </w:div>
    <w:div w:id="1228956658">
      <w:bodyDiv w:val="1"/>
      <w:marLeft w:val="0"/>
      <w:marRight w:val="0"/>
      <w:marTop w:val="0"/>
      <w:marBottom w:val="0"/>
      <w:divBdr>
        <w:top w:val="none" w:sz="0" w:space="0" w:color="auto"/>
        <w:left w:val="none" w:sz="0" w:space="0" w:color="auto"/>
        <w:bottom w:val="none" w:sz="0" w:space="0" w:color="auto"/>
        <w:right w:val="none" w:sz="0" w:space="0" w:color="auto"/>
      </w:divBdr>
    </w:div>
    <w:div w:id="1267270513">
      <w:bodyDiv w:val="1"/>
      <w:marLeft w:val="0"/>
      <w:marRight w:val="0"/>
      <w:marTop w:val="0"/>
      <w:marBottom w:val="0"/>
      <w:divBdr>
        <w:top w:val="none" w:sz="0" w:space="0" w:color="auto"/>
        <w:left w:val="none" w:sz="0" w:space="0" w:color="auto"/>
        <w:bottom w:val="none" w:sz="0" w:space="0" w:color="auto"/>
        <w:right w:val="none" w:sz="0" w:space="0" w:color="auto"/>
      </w:divBdr>
    </w:div>
    <w:div w:id="137411123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3734238">
      <w:bodyDiv w:val="1"/>
      <w:marLeft w:val="0"/>
      <w:marRight w:val="0"/>
      <w:marTop w:val="0"/>
      <w:marBottom w:val="0"/>
      <w:divBdr>
        <w:top w:val="none" w:sz="0" w:space="0" w:color="auto"/>
        <w:left w:val="none" w:sz="0" w:space="0" w:color="auto"/>
        <w:bottom w:val="none" w:sz="0" w:space="0" w:color="auto"/>
        <w:right w:val="none" w:sz="0" w:space="0" w:color="auto"/>
      </w:divBdr>
    </w:div>
    <w:div w:id="1737820875">
      <w:bodyDiv w:val="1"/>
      <w:marLeft w:val="0"/>
      <w:marRight w:val="0"/>
      <w:marTop w:val="0"/>
      <w:marBottom w:val="0"/>
      <w:divBdr>
        <w:top w:val="none" w:sz="0" w:space="0" w:color="auto"/>
        <w:left w:val="none" w:sz="0" w:space="0" w:color="auto"/>
        <w:bottom w:val="none" w:sz="0" w:space="0" w:color="auto"/>
        <w:right w:val="none" w:sz="0" w:space="0" w:color="auto"/>
      </w:divBdr>
    </w:div>
    <w:div w:id="1809977578">
      <w:bodyDiv w:val="1"/>
      <w:marLeft w:val="0"/>
      <w:marRight w:val="0"/>
      <w:marTop w:val="0"/>
      <w:marBottom w:val="0"/>
      <w:divBdr>
        <w:top w:val="none" w:sz="0" w:space="0" w:color="auto"/>
        <w:left w:val="none" w:sz="0" w:space="0" w:color="auto"/>
        <w:bottom w:val="none" w:sz="0" w:space="0" w:color="auto"/>
        <w:right w:val="none" w:sz="0" w:space="0" w:color="auto"/>
      </w:divBdr>
    </w:div>
    <w:div w:id="1879507530">
      <w:bodyDiv w:val="1"/>
      <w:marLeft w:val="0"/>
      <w:marRight w:val="0"/>
      <w:marTop w:val="0"/>
      <w:marBottom w:val="0"/>
      <w:divBdr>
        <w:top w:val="none" w:sz="0" w:space="0" w:color="auto"/>
        <w:left w:val="none" w:sz="0" w:space="0" w:color="auto"/>
        <w:bottom w:val="none" w:sz="0" w:space="0" w:color="auto"/>
        <w:right w:val="none" w:sz="0" w:space="0" w:color="auto"/>
      </w:divBdr>
    </w:div>
    <w:div w:id="2095276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jhemd@kangwon.ac.kr"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762</Words>
  <Characters>4345</Characters>
  <Application>Microsoft Office Word</Application>
  <DocSecurity>0</DocSecurity>
  <Lines>36</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Cho Jun Hwi</cp:lastModifiedBy>
  <cp:revision>6</cp:revision>
  <dcterms:created xsi:type="dcterms:W3CDTF">2020-01-18T13:05:00Z</dcterms:created>
  <dcterms:modified xsi:type="dcterms:W3CDTF">2020-01-18T13:15:00Z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