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052C0C" w:rsidRDefault="00052C0C" w:rsidP="00494130">
      <w:pPr>
        <w:pStyle w:val="Heading1"/>
        <w:spacing w:before="170"/>
        <w:ind w:left="0"/>
        <w:rPr>
          <w:color w:val="4F81BD" w:themeColor="accent1"/>
        </w:rPr>
      </w:pPr>
      <w:r w:rsidRPr="00052C0C">
        <w:rPr>
          <w:color w:val="4F81BD" w:themeColor="accent1"/>
          <w:spacing w:val="4"/>
        </w:rPr>
        <w:t xml:space="preserve">Investigating the molecular mechanism of </w:t>
      </w:r>
      <w:r>
        <w:rPr>
          <w:color w:val="4F81BD" w:themeColor="accent1"/>
          <w:spacing w:val="4"/>
        </w:rPr>
        <w:t>Bipolar Disorder</w:t>
      </w:r>
    </w:p>
    <w:p w:rsidR="005973B9" w:rsidRDefault="00052C0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Qiuwen Wang</w:t>
      </w:r>
      <w:r w:rsidR="00065718">
        <w:rPr>
          <w:rFonts w:ascii="Arial"/>
        </w:rPr>
        <w:t xml:space="preserve">, </w:t>
      </w:r>
      <w:r w:rsidR="005973B9">
        <w:rPr>
          <w:rFonts w:ascii="Arial"/>
        </w:rPr>
        <w:t>T</w:t>
      </w:r>
      <w:r>
        <w:rPr>
          <w:rFonts w:ascii="Arial"/>
        </w:rPr>
        <w:t>singhua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China</w:t>
      </w:r>
      <w:r w:rsidR="005973B9">
        <w:rPr>
          <w:rFonts w:ascii="Arial"/>
        </w:rPr>
        <w:t xml:space="preserve"> </w:t>
      </w:r>
    </w:p>
    <w:p w:rsidR="00AE3E37" w:rsidRDefault="00AE3E37">
      <w:pPr>
        <w:rPr>
          <w:rFonts w:ascii="Arial"/>
          <w:sz w:val="20"/>
          <w:szCs w:val="18"/>
        </w:rPr>
      </w:pPr>
    </w:p>
    <w:p w:rsidR="00C50AAF" w:rsidRDefault="00C50AAF">
      <w:pPr>
        <w:rPr>
          <w:rFonts w:ascii="Arial"/>
          <w:sz w:val="21"/>
        </w:rPr>
        <w:sectPr w:rsidR="00C50AA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1F5877" w:rsidRDefault="001F5877" w:rsidP="00B604B8">
      <w:pPr>
        <w:autoSpaceDE w:val="0"/>
        <w:autoSpaceDN w:val="0"/>
        <w:adjustRightInd w:val="0"/>
        <w:ind w:firstLineChars="100" w:firstLine="180"/>
        <w:jc w:val="both"/>
        <w:rPr>
          <w:rFonts w:cs="MinionPro-Bold"/>
          <w:bCs/>
          <w:sz w:val="18"/>
          <w:szCs w:val="18"/>
        </w:rPr>
      </w:pPr>
      <w:bookmarkStart w:id="0" w:name="_Hlk29804862"/>
    </w:p>
    <w:p w:rsidR="00AE3E37" w:rsidRPr="00C50AAF" w:rsidRDefault="00C31B59" w:rsidP="00B604B8">
      <w:pPr>
        <w:autoSpaceDE w:val="0"/>
        <w:autoSpaceDN w:val="0"/>
        <w:adjustRightInd w:val="0"/>
        <w:ind w:firstLineChars="100" w:firstLine="180"/>
        <w:jc w:val="both"/>
        <w:rPr>
          <w:rFonts w:cs="MinionPro-Bold"/>
          <w:bCs/>
          <w:sz w:val="18"/>
          <w:szCs w:val="18"/>
        </w:rPr>
      </w:pPr>
      <w:r w:rsidRPr="00C50AAF">
        <w:rPr>
          <w:rFonts w:cs="MinionPro-Bold"/>
          <w:bCs/>
          <w:sz w:val="18"/>
          <w:szCs w:val="18"/>
        </w:rPr>
        <w:t>Bipolar disorder (BD) is a complex neuropsychiatric disorder that is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</w:t>
      </w:r>
      <w:r w:rsidRPr="00C50AAF">
        <w:rPr>
          <w:rFonts w:cs="MinionPro-Bold"/>
          <w:bCs/>
          <w:sz w:val="18"/>
          <w:szCs w:val="18"/>
        </w:rPr>
        <w:t>characterized by intermittent episodes of mania and depression. BD affects more than 1% population worldwide and has been ranked by the World Health Organization as a top disorder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</w:t>
      </w:r>
      <w:r w:rsidRPr="00C50AAF">
        <w:rPr>
          <w:rFonts w:cs="MinionPro-Bold"/>
          <w:bCs/>
          <w:sz w:val="18"/>
          <w:szCs w:val="18"/>
        </w:rPr>
        <w:t xml:space="preserve">of morbidity and lost productivity. However, </w:t>
      </w:r>
      <w:r w:rsidRPr="00C50AAF">
        <w:rPr>
          <w:bCs/>
          <w:sz w:val="18"/>
          <w:szCs w:val="18"/>
          <w:lang w:bidi="he-IL"/>
        </w:rPr>
        <w:t xml:space="preserve">the pathogenesis of BD has remained enigmatic. </w:t>
      </w:r>
      <w:r w:rsidRPr="00C50AAF">
        <w:rPr>
          <w:rFonts w:cs="MinionPro-Bold"/>
          <w:bCs/>
          <w:sz w:val="18"/>
          <w:szCs w:val="18"/>
        </w:rPr>
        <w:t xml:space="preserve">This is mainly because </w:t>
      </w:r>
      <w:r w:rsidRPr="00C50AAF">
        <w:rPr>
          <w:bCs/>
          <w:sz w:val="18"/>
          <w:szCs w:val="18"/>
          <w:lang w:bidi="he-IL"/>
        </w:rPr>
        <w:t xml:space="preserve">genetic animal models based on identified susceptible genes have often failed to show core symptoms of BD, especially spontaneous mood cycling. </w:t>
      </w:r>
      <w:r w:rsidRPr="00C50AAF">
        <w:rPr>
          <w:rFonts w:cs="MinionPro-Bold"/>
          <w:bCs/>
          <w:sz w:val="18"/>
          <w:szCs w:val="18"/>
        </w:rPr>
        <w:t>The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</w:t>
      </w:r>
      <w:r w:rsidRPr="00C50AAF">
        <w:rPr>
          <w:rFonts w:cs="MinionPro-Bold"/>
          <w:bCs/>
          <w:sz w:val="18"/>
          <w:szCs w:val="18"/>
        </w:rPr>
        <w:t>introduction of induced pluripotent stem cell (iPSC) technology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</w:t>
      </w:r>
      <w:r w:rsidRPr="00C50AAF">
        <w:rPr>
          <w:rFonts w:cs="MinionPro-Bold"/>
          <w:bCs/>
          <w:sz w:val="18"/>
          <w:szCs w:val="18"/>
        </w:rPr>
        <w:t>has provided a new approach for research of BD pathogenesis. We have developed an iPSC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</w:t>
      </w:r>
      <w:r w:rsidRPr="00C50AAF">
        <w:rPr>
          <w:rFonts w:cs="MinionPro-Bold"/>
          <w:bCs/>
          <w:sz w:val="18"/>
          <w:szCs w:val="18"/>
        </w:rPr>
        <w:t>model for human BD and investigated the cellular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and molecular deficits</w:t>
      </w:r>
      <w:r w:rsidRPr="00C50AAF">
        <w:rPr>
          <w:rFonts w:cs="MinionPro-Bold"/>
          <w:bCs/>
          <w:sz w:val="18"/>
          <w:szCs w:val="18"/>
        </w:rPr>
        <w:t xml:space="preserve"> of patient iPSC-derived hippocampal dentate gyrus-like neurons. </w:t>
      </w:r>
      <w:r w:rsidRPr="00C50AAF">
        <w:rPr>
          <w:rFonts w:cs="MinionPro-Bold"/>
          <w:bCs/>
          <w:sz w:val="18"/>
          <w:szCs w:val="18"/>
          <w:lang w:eastAsia="zh-CN"/>
        </w:rPr>
        <w:t>Guided</w:t>
      </w:r>
      <w:r w:rsidRPr="00C50AAF">
        <w:rPr>
          <w:rFonts w:cs="MinionPro-Bold"/>
          <w:bCs/>
          <w:sz w:val="18"/>
          <w:szCs w:val="18"/>
        </w:rPr>
        <w:t xml:space="preserve"> by patch-clamp recording analysis, we have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</w:t>
      </w:r>
      <w:r w:rsidRPr="00C50AAF">
        <w:rPr>
          <w:rFonts w:cs="MinionPro-Bold"/>
          <w:bCs/>
          <w:sz w:val="18"/>
          <w:szCs w:val="18"/>
        </w:rPr>
        <w:t>observed hyperactive action-potential firing, which could be selectively</w:t>
      </w:r>
      <w:r w:rsidRPr="00C50AAF">
        <w:rPr>
          <w:rFonts w:cs="MinionPro-Bold"/>
          <w:bCs/>
          <w:sz w:val="18"/>
          <w:szCs w:val="18"/>
          <w:lang w:eastAsia="zh-CN"/>
        </w:rPr>
        <w:t xml:space="preserve"> </w:t>
      </w:r>
      <w:r w:rsidRPr="00C50AAF">
        <w:rPr>
          <w:rFonts w:cs="MinionPro-Bold"/>
          <w:bCs/>
          <w:sz w:val="18"/>
          <w:szCs w:val="18"/>
        </w:rPr>
        <w:t xml:space="preserve">reversed by lithium treatment. </w:t>
      </w:r>
      <w:r w:rsidRPr="00C50AAF">
        <w:rPr>
          <w:bCs/>
          <w:sz w:val="18"/>
          <w:szCs w:val="18"/>
          <w:lang w:bidi="he-IL"/>
        </w:rPr>
        <w:t xml:space="preserve">Both our iPSC-based RNA analysis and past </w:t>
      </w:r>
      <w:r w:rsidRPr="00C50AAF">
        <w:rPr>
          <w:rFonts w:cs="MinionPro-Bold"/>
          <w:bCs/>
          <w:sz w:val="18"/>
          <w:szCs w:val="18"/>
        </w:rPr>
        <w:t>p</w:t>
      </w:r>
      <w:r w:rsidRPr="00C50AAF">
        <w:rPr>
          <w:bCs/>
          <w:sz w:val="18"/>
          <w:szCs w:val="18"/>
          <w:lang w:bidi="he-IL"/>
        </w:rPr>
        <w:t>edigree research have implicated that dysfunction in some key signaling cascades might be crucial for the disease pathogenesis in a subpopulation of BD patients.</w:t>
      </w:r>
      <w:r w:rsidRPr="00C50AAF">
        <w:rPr>
          <w:rFonts w:ascii="Arial" w:hAnsi="Arial" w:cs="Arial"/>
          <w:bCs/>
          <w:sz w:val="18"/>
          <w:szCs w:val="18"/>
          <w:lang w:bidi="he-IL"/>
        </w:rPr>
        <w:t xml:space="preserve"> </w:t>
      </w:r>
      <w:r w:rsidRPr="00C50AAF">
        <w:rPr>
          <w:bCs/>
          <w:sz w:val="18"/>
          <w:szCs w:val="18"/>
          <w:lang w:bidi="he-IL"/>
        </w:rPr>
        <w:t>We hypothesized that the behavioral abnormalities of patients and the comorbid metabolic abnormalities might share some identical molecular mechanism. Hence, we investigated the expression of insulin/synapse dually functioning genes in patient iPSC-derived neurons and their phenotypes in the behaviors of mice with these genes silenced in the hippocampus. By this means, we identified synaptotagmin-7 (Syt7) as a candidate risk factor for behavioral abnormalities. We then investigated Syt7 knockout (KO) mice and observed nocturnal manic-like and diurnal depressive-like behavioral fluctuations in a majority of these animals, which are analogous to the mood cycling symptoms of BD and could be treated by clinical drugs. Finally, we observed that the patient plasma samples showed a significantly reduced Syt7 expression compared to the healthy control subjects. We therefore concluded that Syt7 is likely a key factor for the bipolar-like behavioral abnormalities.</w:t>
      </w:r>
    </w:p>
    <w:bookmarkEnd w:id="0"/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C50AAF" w:rsidRDefault="00C50AAF">
      <w:pPr>
        <w:pStyle w:val="Heading3"/>
        <w:spacing w:before="74"/>
      </w:pPr>
    </w:p>
    <w:p w:rsidR="00AE3E37" w:rsidRDefault="0090318E" w:rsidP="00C50AAF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>
            <wp:extent cx="2633240" cy="2585493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552" cy="260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EF4" w:rsidRDefault="00950EF4" w:rsidP="00950EF4">
      <w:pPr>
        <w:autoSpaceDE w:val="0"/>
        <w:autoSpaceDN w:val="0"/>
        <w:adjustRightInd w:val="0"/>
        <w:ind w:firstLineChars="400" w:firstLine="680"/>
        <w:rPr>
          <w:rFonts w:ascii="Times New Roman" w:eastAsiaTheme="minorEastAsia" w:hAnsi="Times New Roman" w:cs="Times New Roman"/>
          <w:bCs/>
          <w:sz w:val="17"/>
          <w:szCs w:val="17"/>
        </w:rPr>
      </w:pPr>
      <w:r w:rsidRPr="00950EF4">
        <w:rPr>
          <w:rFonts w:ascii="Times New Roman" w:eastAsiaTheme="minorEastAsia" w:hAnsi="Times New Roman" w:cs="Times New Roman"/>
          <w:bCs/>
          <w:sz w:val="17"/>
          <w:szCs w:val="17"/>
        </w:rPr>
        <w:t>Figure 1</w:t>
      </w:r>
      <w:r w:rsidR="00073ADB">
        <w:rPr>
          <w:rFonts w:ascii="Times New Roman" w:eastAsiaTheme="minorEastAsia" w:hAnsi="Times New Roman" w:cs="Times New Roman"/>
          <w:bCs/>
          <w:sz w:val="17"/>
          <w:szCs w:val="17"/>
        </w:rPr>
        <w:t>:</w:t>
      </w:r>
      <w:r w:rsidRPr="00950EF4">
        <w:rPr>
          <w:rFonts w:ascii="Times New Roman" w:eastAsiaTheme="minorEastAsia" w:hAnsi="Times New Roman" w:cs="Times New Roman"/>
          <w:bCs/>
          <w:sz w:val="17"/>
          <w:szCs w:val="17"/>
        </w:rPr>
        <w:t xml:space="preserve"> </w:t>
      </w:r>
      <w:r w:rsidRPr="00950EF4">
        <w:rPr>
          <w:rFonts w:ascii="Times New Roman" w:eastAsiaTheme="minorEastAsia" w:hAnsi="Times New Roman" w:cs="Times New Roman"/>
          <w:sz w:val="17"/>
          <w:szCs w:val="17"/>
        </w:rPr>
        <w:t xml:space="preserve"> </w:t>
      </w:r>
      <w:r w:rsidRPr="00950EF4">
        <w:rPr>
          <w:rFonts w:ascii="Times New Roman" w:eastAsiaTheme="minorEastAsia" w:hAnsi="Times New Roman" w:cs="Times New Roman"/>
          <w:bCs/>
          <w:sz w:val="17"/>
          <w:szCs w:val="17"/>
        </w:rPr>
        <w:t xml:space="preserve">Hippocampal DG granule cell-like neurons derived </w:t>
      </w:r>
    </w:p>
    <w:p w:rsidR="00950EF4" w:rsidRPr="00950EF4" w:rsidRDefault="00950EF4" w:rsidP="00950EF4">
      <w:pPr>
        <w:autoSpaceDE w:val="0"/>
        <w:autoSpaceDN w:val="0"/>
        <w:adjustRightInd w:val="0"/>
        <w:ind w:firstLineChars="400" w:firstLine="680"/>
        <w:rPr>
          <w:rFonts w:ascii="Times New Roman" w:eastAsiaTheme="minorEastAsia" w:hAnsi="Times New Roman" w:cs="Times New Roman"/>
          <w:bCs/>
          <w:sz w:val="17"/>
          <w:szCs w:val="17"/>
        </w:rPr>
      </w:pPr>
      <w:r w:rsidRPr="00950EF4">
        <w:rPr>
          <w:rFonts w:ascii="Times New Roman" w:eastAsiaTheme="minorEastAsia" w:hAnsi="Times New Roman" w:cs="Times New Roman"/>
          <w:bCs/>
          <w:sz w:val="17"/>
          <w:szCs w:val="17"/>
        </w:rPr>
        <w:t>From</w:t>
      </w:r>
      <w:r>
        <w:rPr>
          <w:rFonts w:ascii="Times New Roman" w:eastAsiaTheme="minorEastAsia" w:hAnsi="Times New Roman" w:cs="Times New Roman"/>
          <w:bCs/>
          <w:sz w:val="17"/>
          <w:szCs w:val="17"/>
        </w:rPr>
        <w:t xml:space="preserve"> </w:t>
      </w:r>
      <w:r w:rsidRPr="00950EF4">
        <w:rPr>
          <w:rFonts w:ascii="Times New Roman" w:eastAsiaTheme="minorEastAsia" w:hAnsi="Times New Roman" w:cs="Times New Roman"/>
          <w:bCs/>
          <w:sz w:val="17"/>
          <w:szCs w:val="17"/>
        </w:rPr>
        <w:t>patients with BD show hyperexcitability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FC6682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FC6682">
        <w:rPr>
          <w:rFonts w:asciiTheme="minorHAnsi" w:hAnsiTheme="minorHAnsi" w:cstheme="minorHAnsi"/>
          <w:sz w:val="18"/>
          <w:szCs w:val="18"/>
        </w:rPr>
        <w:t xml:space="preserve">Mertens J*, </w:t>
      </w:r>
      <w:r w:rsidRPr="00CF0417">
        <w:rPr>
          <w:rFonts w:asciiTheme="minorHAnsi" w:hAnsiTheme="minorHAnsi" w:cstheme="minorHAnsi"/>
          <w:sz w:val="18"/>
          <w:szCs w:val="18"/>
        </w:rPr>
        <w:t>Wang QW</w:t>
      </w:r>
      <w:r w:rsidRPr="00FC6682">
        <w:rPr>
          <w:rFonts w:asciiTheme="minorHAnsi" w:hAnsiTheme="minorHAnsi" w:cstheme="minorHAnsi"/>
          <w:sz w:val="18"/>
          <w:szCs w:val="18"/>
        </w:rPr>
        <w:t>*</w:t>
      </w:r>
      <w:r w:rsidRPr="00FC6682">
        <w:rPr>
          <w:rFonts w:asciiTheme="minorHAnsi" w:hAnsiTheme="minorHAnsi" w:cstheme="minorHAnsi"/>
          <w:noProof/>
          <w:sz w:val="18"/>
          <w:szCs w:val="18"/>
        </w:rPr>
        <w:t>, Kim, Y., Yu, D.X., Pham, S., Yang, B., Zheng, Y., Diffenderfer, K.E., Zhang, J., Soltani, S.</w:t>
      </w:r>
      <w:r w:rsidRPr="00FC6682">
        <w:rPr>
          <w:rFonts w:asciiTheme="minorHAnsi" w:hAnsiTheme="minorHAnsi" w:cstheme="minorHAnsi"/>
          <w:i/>
          <w:noProof/>
          <w:sz w:val="18"/>
          <w:szCs w:val="18"/>
        </w:rPr>
        <w:t>, et al.</w:t>
      </w:r>
      <w:r w:rsidRPr="00FC6682">
        <w:rPr>
          <w:rFonts w:asciiTheme="minorHAnsi" w:hAnsiTheme="minorHAnsi" w:cstheme="minorHAnsi"/>
          <w:noProof/>
          <w:sz w:val="18"/>
          <w:szCs w:val="18"/>
        </w:rPr>
        <w:t xml:space="preserve"> (2015). Differential responses to lithium in hyperexcitable neurons from patients with bipolar disorder. Nature</w:t>
      </w:r>
      <w:r w:rsidRPr="00FC6682">
        <w:rPr>
          <w:rFonts w:asciiTheme="minorHAnsi" w:hAnsiTheme="minorHAnsi" w:cstheme="minorHAnsi"/>
          <w:i/>
          <w:noProof/>
          <w:sz w:val="18"/>
          <w:szCs w:val="18"/>
        </w:rPr>
        <w:t xml:space="preserve"> 527</w:t>
      </w:r>
      <w:r w:rsidRPr="00FC6682">
        <w:rPr>
          <w:rFonts w:asciiTheme="minorHAnsi" w:hAnsiTheme="minorHAnsi" w:cstheme="minorHAnsi"/>
          <w:noProof/>
          <w:sz w:val="18"/>
          <w:szCs w:val="18"/>
        </w:rPr>
        <w:t>, 95-99.</w:t>
      </w:r>
    </w:p>
    <w:p w:rsidR="005973B9" w:rsidRPr="00FC6682" w:rsidRDefault="00FC6682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FC6682">
        <w:rPr>
          <w:rFonts w:asciiTheme="minorHAnsi" w:hAnsiTheme="minorHAnsi" w:cstheme="minorHAnsi"/>
          <w:noProof/>
          <w:sz w:val="18"/>
          <w:szCs w:val="18"/>
        </w:rPr>
        <w:t xml:space="preserve">Stern, S., Santos, R., Marchetto, M.C., Mendes, A.P.D., Rouleau, G.A., Biesmans, S., </w:t>
      </w:r>
      <w:r w:rsidRPr="00CF0417">
        <w:rPr>
          <w:rFonts w:asciiTheme="minorHAnsi" w:hAnsiTheme="minorHAnsi" w:cstheme="minorHAnsi"/>
          <w:noProof/>
          <w:sz w:val="18"/>
          <w:szCs w:val="18"/>
        </w:rPr>
        <w:t>Wang, QW</w:t>
      </w:r>
      <w:r w:rsidRPr="00FC6682">
        <w:rPr>
          <w:rFonts w:asciiTheme="minorHAnsi" w:hAnsiTheme="minorHAnsi" w:cstheme="minorHAnsi"/>
          <w:b/>
          <w:noProof/>
          <w:sz w:val="18"/>
          <w:szCs w:val="18"/>
        </w:rPr>
        <w:t>.</w:t>
      </w:r>
      <w:r w:rsidRPr="00FC6682">
        <w:rPr>
          <w:rFonts w:asciiTheme="minorHAnsi" w:hAnsiTheme="minorHAnsi" w:cstheme="minorHAnsi"/>
          <w:noProof/>
          <w:sz w:val="18"/>
          <w:szCs w:val="18"/>
        </w:rPr>
        <w:t>, Yao, J., Charnay, P., Bang, A.G.</w:t>
      </w:r>
      <w:r w:rsidRPr="00FC6682">
        <w:rPr>
          <w:rFonts w:asciiTheme="minorHAnsi" w:hAnsiTheme="minorHAnsi" w:cstheme="minorHAnsi"/>
          <w:i/>
          <w:noProof/>
          <w:sz w:val="18"/>
          <w:szCs w:val="18"/>
        </w:rPr>
        <w:t>, et al.</w:t>
      </w:r>
      <w:r w:rsidRPr="00FC6682">
        <w:rPr>
          <w:rFonts w:asciiTheme="minorHAnsi" w:hAnsiTheme="minorHAnsi" w:cstheme="minorHAnsi"/>
          <w:noProof/>
          <w:sz w:val="18"/>
          <w:szCs w:val="18"/>
        </w:rPr>
        <w:t xml:space="preserve"> (2018). Neurons derived from patients with bipolar disorder divide into intrinsically different sub-populations of neurons, predicting the patients' responsiveness to lithium. </w:t>
      </w:r>
      <w:r w:rsidRPr="00CF0417">
        <w:rPr>
          <w:rFonts w:asciiTheme="minorHAnsi" w:hAnsiTheme="minorHAnsi" w:cstheme="minorHAnsi"/>
          <w:noProof/>
          <w:sz w:val="18"/>
          <w:szCs w:val="18"/>
        </w:rPr>
        <w:t>Molecular psychiatry</w:t>
      </w:r>
      <w:r w:rsidRPr="00CF0417">
        <w:rPr>
          <w:rFonts w:asciiTheme="minorHAnsi" w:hAnsiTheme="minorHAnsi" w:cstheme="minorHAnsi"/>
          <w:i/>
          <w:noProof/>
          <w:sz w:val="18"/>
          <w:szCs w:val="18"/>
        </w:rPr>
        <w:t xml:space="preserve"> </w:t>
      </w:r>
      <w:r w:rsidRPr="00FC6682">
        <w:rPr>
          <w:rFonts w:asciiTheme="minorHAnsi" w:hAnsiTheme="minorHAnsi" w:cstheme="minorHAnsi"/>
          <w:i/>
          <w:noProof/>
          <w:sz w:val="18"/>
          <w:szCs w:val="18"/>
        </w:rPr>
        <w:t>23</w:t>
      </w:r>
      <w:r w:rsidRPr="00FC6682">
        <w:rPr>
          <w:rFonts w:asciiTheme="minorHAnsi" w:hAnsiTheme="minorHAnsi" w:cstheme="minorHAnsi"/>
          <w:noProof/>
          <w:sz w:val="18"/>
          <w:szCs w:val="18"/>
        </w:rPr>
        <w:t>, 1453-1465.</w:t>
      </w:r>
    </w:p>
    <w:p w:rsidR="005973B9" w:rsidRPr="00FC6682" w:rsidRDefault="00FC6682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FC6682">
        <w:rPr>
          <w:rFonts w:asciiTheme="minorHAnsi" w:hAnsiTheme="minorHAnsi" w:cstheme="minorHAnsi"/>
          <w:sz w:val="18"/>
          <w:szCs w:val="18"/>
        </w:rPr>
        <w:t xml:space="preserve">Wei Shen*, </w:t>
      </w:r>
      <w:r w:rsidRPr="00CF0417">
        <w:rPr>
          <w:rFonts w:asciiTheme="minorHAnsi" w:hAnsiTheme="minorHAnsi" w:cstheme="minorHAnsi"/>
          <w:sz w:val="18"/>
          <w:szCs w:val="18"/>
        </w:rPr>
        <w:t>Wang QW</w:t>
      </w:r>
      <w:r w:rsidRPr="00FC6682">
        <w:rPr>
          <w:rFonts w:asciiTheme="minorHAnsi" w:hAnsiTheme="minorHAnsi" w:cstheme="minorHAnsi"/>
          <w:sz w:val="18"/>
          <w:szCs w:val="18"/>
        </w:rPr>
        <w:t xml:space="preserve">* et al. </w:t>
      </w:r>
      <w:r w:rsidRPr="00FC6682">
        <w:rPr>
          <w:rFonts w:asciiTheme="minorHAnsi" w:hAnsiTheme="minorHAnsi" w:cstheme="minorHAnsi"/>
          <w:bCs/>
          <w:sz w:val="18"/>
          <w:szCs w:val="18"/>
          <w:lang w:bidi="he-IL"/>
        </w:rPr>
        <w:t xml:space="preserve">Synaptotagmin-7 </w:t>
      </w:r>
      <w:r w:rsidRPr="00FC6682">
        <w:rPr>
          <w:rFonts w:asciiTheme="minorHAnsi" w:hAnsiTheme="minorHAnsi" w:cstheme="minorHAnsi"/>
          <w:bCs/>
          <w:sz w:val="18"/>
          <w:szCs w:val="18"/>
        </w:rPr>
        <w:t>is a key factor for bipolar-like behavioral abnormalities in mice</w:t>
      </w:r>
      <w:r w:rsidRPr="00FC6682">
        <w:rPr>
          <w:rFonts w:asciiTheme="minorHAnsi" w:hAnsiTheme="minorHAnsi" w:cstheme="minorHAnsi"/>
          <w:b/>
          <w:sz w:val="18"/>
          <w:szCs w:val="18"/>
          <w:lang w:bidi="he-IL"/>
        </w:rPr>
        <w:t xml:space="preserve">. </w:t>
      </w:r>
      <w:r w:rsidRPr="00CF0417">
        <w:rPr>
          <w:rFonts w:asciiTheme="minorHAnsi" w:hAnsiTheme="minorHAnsi" w:cstheme="minorHAnsi"/>
          <w:i/>
          <w:noProof/>
          <w:sz w:val="18"/>
          <w:szCs w:val="18"/>
        </w:rPr>
        <w:t>PNAS</w:t>
      </w:r>
      <w:r w:rsidRPr="00FC6682">
        <w:rPr>
          <w:rFonts w:asciiTheme="minorHAnsi" w:hAnsiTheme="minorHAnsi" w:cstheme="minorHAnsi"/>
          <w:b/>
          <w:noProof/>
          <w:sz w:val="18"/>
          <w:szCs w:val="18"/>
        </w:rPr>
        <w:t xml:space="preserve">, </w:t>
      </w:r>
      <w:r w:rsidR="004A6FCF">
        <w:rPr>
          <w:rFonts w:asciiTheme="minorHAnsi" w:hAnsiTheme="minorHAnsi" w:cstheme="minorHAnsi"/>
          <w:sz w:val="18"/>
          <w:szCs w:val="18"/>
          <w:lang w:bidi="he-IL"/>
        </w:rPr>
        <w:t>Ac</w:t>
      </w:r>
      <w:bookmarkStart w:id="1" w:name="_GoBack"/>
      <w:bookmarkEnd w:id="1"/>
      <w:r w:rsidR="004A6FCF">
        <w:rPr>
          <w:rFonts w:asciiTheme="minorHAnsi" w:hAnsiTheme="minorHAnsi" w:cstheme="minorHAnsi"/>
          <w:sz w:val="18"/>
          <w:szCs w:val="18"/>
          <w:lang w:bidi="he-IL"/>
        </w:rPr>
        <w:t>cepted</w:t>
      </w:r>
      <w:r w:rsidRPr="00FC6682">
        <w:rPr>
          <w:rFonts w:asciiTheme="minorHAnsi" w:hAnsiTheme="minorHAnsi" w:cstheme="minorHAnsi"/>
          <w:sz w:val="18"/>
          <w:szCs w:val="18"/>
          <w:lang w:bidi="he-IL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0310C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C6682">
        <w:rPr>
          <w:noProof/>
        </w:rPr>
        <w:drawing>
          <wp:inline distT="0" distB="0" distL="0" distR="0">
            <wp:extent cx="538223" cy="744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02" cy="75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5A5B6E" w:rsidRPr="00B90BC8" w:rsidRDefault="00B90BC8" w:rsidP="005A5B6E">
      <w:pPr>
        <w:autoSpaceDE w:val="0"/>
        <w:autoSpaceDN w:val="0"/>
        <w:adjustRightInd w:val="0"/>
        <w:rPr>
          <w:rFonts w:ascii="Arial" w:hAnsi="Arial" w:cs="Arial"/>
          <w:sz w:val="15"/>
          <w:szCs w:val="15"/>
          <w:lang w:val="en"/>
        </w:rPr>
      </w:pPr>
      <w:r w:rsidRPr="00B90BC8">
        <w:rPr>
          <w:rFonts w:ascii="Arial" w:hAnsi="Arial" w:cs="Arial"/>
          <w:sz w:val="15"/>
          <w:szCs w:val="15"/>
          <w:lang w:val="en"/>
        </w:rPr>
        <w:t xml:space="preserve">Dr. Qiuwen Wang has been studying the molecular mechanisms involved in the pathogenesis of bipolar disorder. She has her expertise in stem cell biology, </w:t>
      </w:r>
      <w:proofErr w:type="spellStart"/>
      <w:r w:rsidRPr="00B90BC8">
        <w:rPr>
          <w:rFonts w:ascii="Arial" w:hAnsi="Arial" w:cs="Arial"/>
          <w:sz w:val="15"/>
          <w:szCs w:val="15"/>
          <w:lang w:val="en"/>
        </w:rPr>
        <w:t>eletrophysiology</w:t>
      </w:r>
      <w:proofErr w:type="spellEnd"/>
      <w:r w:rsidRPr="00B90BC8">
        <w:rPr>
          <w:rFonts w:ascii="Arial" w:hAnsi="Arial" w:cs="Arial"/>
          <w:sz w:val="15"/>
          <w:szCs w:val="15"/>
          <w:lang w:val="en"/>
        </w:rPr>
        <w:t xml:space="preserve"> and fluorescence imaging. She is passionate on developing new therapies and drugs aimed at clinical treatment for bipolar disorder.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C6682" w:rsidRPr="00FC6682">
        <w:rPr>
          <w:rStyle w:val="Hyperlink"/>
          <w:rFonts w:ascii="Arial"/>
          <w:sz w:val="14"/>
          <w:u w:val="none"/>
        </w:rPr>
        <w:t>wang</w:t>
      </w:r>
      <w:r w:rsidR="00FC6682">
        <w:rPr>
          <w:rStyle w:val="Hyperlink"/>
          <w:rFonts w:ascii="Arial"/>
          <w:sz w:val="14"/>
          <w:u w:val="none"/>
        </w:rPr>
        <w:t>_qiuwen@163.com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FC6682">
        <w:rPr>
          <w:rStyle w:val="Hyperlink"/>
          <w:rFonts w:ascii="Arial"/>
          <w:color w:val="auto"/>
          <w:sz w:val="14"/>
          <w:u w:val="none"/>
        </w:rPr>
        <w:t>86</w:t>
      </w:r>
      <w:r>
        <w:rPr>
          <w:rStyle w:val="Hyperlink"/>
          <w:rFonts w:ascii="Arial"/>
          <w:color w:val="auto"/>
          <w:sz w:val="14"/>
          <w:u w:val="none"/>
        </w:rPr>
        <w:t>-</w:t>
      </w:r>
      <w:r w:rsidR="00FC6682">
        <w:rPr>
          <w:rStyle w:val="Hyperlink"/>
          <w:rFonts w:ascii="Arial"/>
          <w:color w:val="auto"/>
          <w:sz w:val="14"/>
          <w:u w:val="none"/>
        </w:rPr>
        <w:t>18811328759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1B716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C50AAF" w:rsidRDefault="00A9710C" w:rsidP="00C50AAF">
      <w:pPr>
        <w:spacing w:before="39"/>
        <w:ind w:left="100"/>
        <w:rPr>
          <w:rFonts w:ascii="Minion Pro"/>
          <w:b/>
          <w:sz w:val="20"/>
        </w:rPr>
        <w:sectPr w:rsidR="00AE3E37" w:rsidRPr="00C50A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CA6" w:rsidRDefault="00496CA6">
      <w:r>
        <w:separator/>
      </w:r>
    </w:p>
  </w:endnote>
  <w:endnote w:type="continuationSeparator" w:id="0">
    <w:p w:rsidR="00496CA6" w:rsidRDefault="0049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CA6" w:rsidRDefault="00496CA6">
      <w:r>
        <w:separator/>
      </w:r>
    </w:p>
  </w:footnote>
  <w:footnote w:type="continuationSeparator" w:id="0">
    <w:p w:rsidR="00496CA6" w:rsidRDefault="00496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7C08"/>
    <w:rsid w:val="00052C0C"/>
    <w:rsid w:val="000642C6"/>
    <w:rsid w:val="00065718"/>
    <w:rsid w:val="00073ADB"/>
    <w:rsid w:val="000E2911"/>
    <w:rsid w:val="001263DF"/>
    <w:rsid w:val="001F5877"/>
    <w:rsid w:val="002220FB"/>
    <w:rsid w:val="00292ED9"/>
    <w:rsid w:val="00404E5B"/>
    <w:rsid w:val="00414F7B"/>
    <w:rsid w:val="004355DC"/>
    <w:rsid w:val="004749B4"/>
    <w:rsid w:val="00494130"/>
    <w:rsid w:val="00496CA6"/>
    <w:rsid w:val="004A6FCF"/>
    <w:rsid w:val="004F3523"/>
    <w:rsid w:val="00562D93"/>
    <w:rsid w:val="005922A2"/>
    <w:rsid w:val="005973B9"/>
    <w:rsid w:val="005A5B6E"/>
    <w:rsid w:val="005B3A56"/>
    <w:rsid w:val="006060CE"/>
    <w:rsid w:val="0063497F"/>
    <w:rsid w:val="006910C5"/>
    <w:rsid w:val="007074EF"/>
    <w:rsid w:val="00803AEF"/>
    <w:rsid w:val="00803C6C"/>
    <w:rsid w:val="00827B1F"/>
    <w:rsid w:val="0084444E"/>
    <w:rsid w:val="00873DF0"/>
    <w:rsid w:val="008756E6"/>
    <w:rsid w:val="0090318E"/>
    <w:rsid w:val="00950EF4"/>
    <w:rsid w:val="009857B8"/>
    <w:rsid w:val="009B2D44"/>
    <w:rsid w:val="00A07E82"/>
    <w:rsid w:val="00A62401"/>
    <w:rsid w:val="00A9710C"/>
    <w:rsid w:val="00AE3E37"/>
    <w:rsid w:val="00B21A57"/>
    <w:rsid w:val="00B604B8"/>
    <w:rsid w:val="00B90BC8"/>
    <w:rsid w:val="00C31B59"/>
    <w:rsid w:val="00C33602"/>
    <w:rsid w:val="00C50AAF"/>
    <w:rsid w:val="00CC00DB"/>
    <w:rsid w:val="00CD6F55"/>
    <w:rsid w:val="00CF0417"/>
    <w:rsid w:val="00DE3104"/>
    <w:rsid w:val="00E029EB"/>
    <w:rsid w:val="00F72EEA"/>
    <w:rsid w:val="00F84CAE"/>
    <w:rsid w:val="00F9485C"/>
    <w:rsid w:val="00FC6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6A8C82"/>
  <w15:docId w15:val="{6C4FF90F-7A1E-43C4-966C-37C51140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qiuwen wang</cp:lastModifiedBy>
  <cp:revision>9</cp:revision>
  <dcterms:created xsi:type="dcterms:W3CDTF">2016-09-02T12:15:00Z</dcterms:created>
  <dcterms:modified xsi:type="dcterms:W3CDTF">2020-01-13T09:38:00Z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