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6C5" w:rsidRPr="007F66C5" w:rsidRDefault="007F66C5" w:rsidP="007F66C5">
      <w:pPr>
        <w:spacing w:line="480" w:lineRule="auto"/>
        <w:jc w:val="both"/>
        <w:rPr>
          <w:rFonts w:asciiTheme="majorBidi" w:hAnsiTheme="majorBidi" w:cstheme="majorBidi"/>
          <w:sz w:val="24"/>
          <w:szCs w:val="24"/>
        </w:rPr>
      </w:pPr>
      <w:r w:rsidRPr="007F66C5">
        <w:rPr>
          <w:rFonts w:asciiTheme="majorBidi" w:hAnsiTheme="majorBidi" w:cstheme="majorBidi"/>
          <w:b/>
          <w:bCs/>
          <w:sz w:val="24"/>
          <w:szCs w:val="24"/>
        </w:rPr>
        <w:t xml:space="preserve">Title: </w:t>
      </w:r>
      <w:r w:rsidRPr="007F66C5">
        <w:rPr>
          <w:rFonts w:asciiTheme="majorBidi" w:hAnsiTheme="majorBidi" w:cstheme="majorBidi"/>
          <w:sz w:val="24"/>
          <w:szCs w:val="24"/>
        </w:rPr>
        <w:t>An observational study to compare the safety and efficacy of conventional anticoagulation (Warfarin/Low molecular weight heparin) versus New Oral Anticoagulants in the management of cerebral venous sinus thrombosis.</w:t>
      </w:r>
    </w:p>
    <w:p w:rsidR="00193082" w:rsidRDefault="00193082" w:rsidP="007F66C5">
      <w:pPr>
        <w:spacing w:line="480" w:lineRule="auto"/>
        <w:jc w:val="both"/>
        <w:rPr>
          <w:rFonts w:asciiTheme="majorBidi" w:hAnsiTheme="majorBidi" w:cstheme="majorBidi"/>
          <w:sz w:val="24"/>
          <w:szCs w:val="24"/>
        </w:rPr>
      </w:pPr>
      <w:r>
        <w:rPr>
          <w:rFonts w:asciiTheme="majorBidi" w:hAnsiTheme="majorBidi" w:cstheme="majorBidi"/>
          <w:sz w:val="24"/>
          <w:szCs w:val="24"/>
        </w:rPr>
        <w:t>Background and purpose: Incidence of CVST is rising, mainly due to availability of more advanced imaging modalities and increased awareness among the physicians about the diagnosis, but treatment options are few. Although still not approved by US FDA, off label use of NOAC to treat CVST is increasing. Method:</w:t>
      </w:r>
    </w:p>
    <w:p w:rsidR="007F66C5" w:rsidRDefault="00193082" w:rsidP="007F66C5">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Our study is retrospective prospective cohort study of patients presented with CVST to KFHU </w:t>
      </w:r>
      <w:r w:rsidRPr="0027493C">
        <w:rPr>
          <w:rFonts w:asciiTheme="majorBidi" w:hAnsiTheme="majorBidi" w:cstheme="majorBidi"/>
          <w:sz w:val="24"/>
          <w:szCs w:val="24"/>
        </w:rPr>
        <w:t xml:space="preserve">during the period of January </w:t>
      </w:r>
      <w:r>
        <w:rPr>
          <w:rFonts w:asciiTheme="majorBidi" w:hAnsiTheme="majorBidi" w:cstheme="majorBidi"/>
          <w:sz w:val="24"/>
          <w:szCs w:val="24"/>
        </w:rPr>
        <w:t>2012 and October 2019.  T</w:t>
      </w:r>
      <w:r w:rsidRPr="0027493C">
        <w:rPr>
          <w:rFonts w:asciiTheme="majorBidi" w:hAnsiTheme="majorBidi" w:cstheme="majorBidi"/>
          <w:sz w:val="24"/>
          <w:szCs w:val="24"/>
        </w:rPr>
        <w:t xml:space="preserve">he patients with the diagnosis of CVST were identified and data was analyzed for </w:t>
      </w:r>
      <w:r>
        <w:rPr>
          <w:rFonts w:asciiTheme="majorBidi" w:hAnsiTheme="majorBidi" w:cstheme="majorBidi"/>
          <w:sz w:val="24"/>
          <w:szCs w:val="24"/>
        </w:rPr>
        <w:t xml:space="preserve">demographic characteristics and specific consideration was given to compare the efficacy and safety of different anticoagulation </w:t>
      </w:r>
      <w:r w:rsidR="007F66C5">
        <w:rPr>
          <w:rFonts w:asciiTheme="majorBidi" w:hAnsiTheme="majorBidi" w:cstheme="majorBidi"/>
          <w:sz w:val="24"/>
          <w:szCs w:val="24"/>
        </w:rPr>
        <w:t xml:space="preserve">treatment. </w:t>
      </w:r>
    </w:p>
    <w:p w:rsidR="00193082" w:rsidRDefault="00A54CDF" w:rsidP="007F66C5">
      <w:pPr>
        <w:spacing w:line="480" w:lineRule="auto"/>
        <w:jc w:val="both"/>
        <w:rPr>
          <w:rFonts w:asciiTheme="majorBidi" w:hAnsiTheme="majorBidi" w:cstheme="majorBidi"/>
          <w:sz w:val="24"/>
          <w:szCs w:val="24"/>
          <w:lang w:val="en"/>
        </w:rPr>
      </w:pPr>
      <w:r>
        <w:rPr>
          <w:rFonts w:asciiTheme="majorBidi" w:hAnsiTheme="majorBidi" w:cstheme="majorBidi"/>
          <w:sz w:val="24"/>
          <w:szCs w:val="24"/>
        </w:rPr>
        <w:t>Results; A</w:t>
      </w:r>
      <w:r w:rsidR="00193082">
        <w:rPr>
          <w:rFonts w:asciiTheme="majorBidi" w:hAnsiTheme="majorBidi" w:cstheme="majorBidi"/>
          <w:sz w:val="24"/>
          <w:szCs w:val="24"/>
        </w:rPr>
        <w:t xml:space="preserve"> total of 36 patients were included in our study’s analysis, with 15(41 %) males and 21 (59 %) females, with male to female ratio of 1:1.4.</w:t>
      </w:r>
      <w:r w:rsidR="00193082" w:rsidRPr="006E29D4">
        <w:rPr>
          <w:rFonts w:asciiTheme="majorBidi" w:hAnsiTheme="majorBidi" w:cstheme="majorBidi"/>
          <w:sz w:val="24"/>
          <w:szCs w:val="24"/>
          <w:lang w:val="en"/>
        </w:rPr>
        <w:t xml:space="preserve"> </w:t>
      </w:r>
      <w:r w:rsidR="00193082">
        <w:rPr>
          <w:rFonts w:asciiTheme="majorBidi" w:hAnsiTheme="majorBidi" w:cstheme="majorBidi"/>
          <w:sz w:val="24"/>
          <w:szCs w:val="24"/>
          <w:lang w:val="en"/>
        </w:rPr>
        <w:t>Headache was the commonest presenting feature, present in 22 (61%) of the cases, followed by unilateral weakness in 15(41%) and cranial nerve palsies in 11 (30%). The commonest etiology was prothrombotic state (both hereditary and acquired thrombophilia 16 (45%) patients. Efficacy didn’t show any statistically significant difference, although it proved to be better tolerated as none of the patients stopped the treatment because of the adverse events and risk of major bleeding was significantly low in NOAC group.</w:t>
      </w:r>
      <w:r w:rsidR="00193082" w:rsidRPr="00A54578">
        <w:rPr>
          <w:rFonts w:asciiTheme="majorBidi" w:hAnsiTheme="majorBidi" w:cstheme="majorBidi"/>
          <w:sz w:val="24"/>
          <w:szCs w:val="24"/>
          <w:lang w:val="en"/>
        </w:rPr>
        <w:t xml:space="preserve"> </w:t>
      </w:r>
      <w:r>
        <w:rPr>
          <w:rFonts w:asciiTheme="majorBidi" w:hAnsiTheme="majorBidi" w:cstheme="majorBidi"/>
          <w:sz w:val="24"/>
          <w:szCs w:val="24"/>
          <w:lang w:val="en"/>
        </w:rPr>
        <w:t>Conclusion: In</w:t>
      </w:r>
      <w:r w:rsidR="00193082">
        <w:rPr>
          <w:rFonts w:asciiTheme="majorBidi" w:hAnsiTheme="majorBidi" w:cstheme="majorBidi"/>
          <w:sz w:val="24"/>
          <w:szCs w:val="24"/>
          <w:lang w:val="en"/>
        </w:rPr>
        <w:t xml:space="preserve"> our study, NOAC proved to be safer alternative and better tolerated as compare to conventional anticoagulation. However, efficacy was almost similar, that is consistent with most of the published case series and few recently published prospective studies. Further larger prospective and population based studies are needed to clarify our preliminary results.</w:t>
      </w:r>
    </w:p>
    <w:p w:rsidR="00193082" w:rsidRDefault="00A54CDF" w:rsidP="00193082">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Dr Rizwana shahid is assistant professor/ consultant neurologist and neurovascular services at King Fahad hospital Of the University, Alkhobar, KSA.</w:t>
      </w:r>
    </w:p>
    <w:p w:rsidR="00A54CDF" w:rsidRDefault="00A54CDF" w:rsidP="00A54CDF">
      <w:pPr>
        <w:spacing w:line="480" w:lineRule="auto"/>
        <w:jc w:val="both"/>
        <w:rPr>
          <w:rFonts w:asciiTheme="majorBidi" w:hAnsiTheme="majorBidi" w:cstheme="majorBidi"/>
          <w:sz w:val="24"/>
          <w:szCs w:val="24"/>
        </w:rPr>
      </w:pPr>
      <w:r>
        <w:rPr>
          <w:rFonts w:asciiTheme="majorBidi" w:hAnsiTheme="majorBidi" w:cstheme="majorBidi"/>
          <w:sz w:val="24"/>
          <w:szCs w:val="24"/>
        </w:rPr>
        <w:t>She did her MBBS from Dow medical Karachi, Pakistan in 1998 and pursued her career in neurology. She completed her postgraguation (FCPS Neurology) in 2005 with the highest gold medal awarded by college of physicians and surgeons of Pakistan. She completed her clinical fellowship in cerebrovascular diseases from U of Alberta, Canada in 2011. She has worked in Royal prince Alfred hospital, Australia as clinical research fellow and has published many research papers in international and local journals.</w:t>
      </w:r>
      <w:bookmarkStart w:id="0" w:name="_GoBack"/>
      <w:bookmarkEnd w:id="0"/>
    </w:p>
    <w:p w:rsidR="00442062" w:rsidRDefault="00442062"/>
    <w:sectPr w:rsidR="00442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082"/>
    <w:rsid w:val="00193082"/>
    <w:rsid w:val="00442062"/>
    <w:rsid w:val="007F66C5"/>
    <w:rsid w:val="00A54C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28817B-64BA-4FAA-8C78-8ED76D3B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0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rizwana shahid</dc:creator>
  <cp:keywords/>
  <dc:description/>
  <cp:lastModifiedBy>rizwana shahid</cp:lastModifiedBy>
  <cp:revision>3</cp:revision>
  <dcterms:created xsi:type="dcterms:W3CDTF">2019-12-01T09:44:00Z</dcterms:created>
  <dcterms:modified xsi:type="dcterms:W3CDTF">2019-12-25T08:12:00Z</dcterms:modified>
</cp:coreProperties>
</file>