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rFonts w:hint="default"/>
          <w:color w:val="337AB7"/>
          <w:lang w:val="en-US" w:eastAsia="zh-CN"/>
        </w:rPr>
      </w:pPr>
      <w:r>
        <w:rPr>
          <w:rFonts w:hint="default"/>
          <w:color w:val="337AB7"/>
          <w:lang w:val="en-US" w:eastAsia="zh-CN"/>
        </w:rPr>
        <w:t>Related factors and management principles of postoperative complications of ventricular-peritoneal shunt</w:t>
      </w:r>
    </w:p>
    <w:p>
      <w:pPr>
        <w:pStyle w:val="2"/>
        <w:spacing w:before="170"/>
        <w:ind w:left="0"/>
      </w:pPr>
    </w:p>
    <w:p>
      <w:pPr>
        <w:pStyle w:val="5"/>
        <w:spacing w:before="73" w:line="198" w:lineRule="exact"/>
        <w:ind w:left="100" w:right="5987"/>
        <w:rPr>
          <w:rFonts w:ascii="Arial"/>
        </w:rPr>
      </w:pPr>
      <w:r>
        <w:rPr>
          <w:rFonts w:ascii="Arial"/>
        </w:rPr>
        <w:t>Xu Ying-hui</w:t>
      </w:r>
      <w:r>
        <w:rPr>
          <w:rFonts w:ascii="Arial"/>
        </w:rPr>
        <w:t xml:space="preserve">, </w:t>
      </w:r>
      <w:r>
        <w:rPr>
          <w:rFonts w:ascii="Arial"/>
        </w:rPr>
        <w:t>Dalian,China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 xml:space="preserve">Abstract </w:t>
      </w:r>
    </w:p>
    <w:p>
      <w:pPr>
        <w:pStyle w:val="5"/>
        <w:spacing w:before="90" w:line="280" w:lineRule="auto"/>
        <w:ind w:left="100"/>
        <w:jc w:val="both"/>
        <w:rPr>
          <w:rFonts w:hint="default"/>
          <w:lang w:val="en-US" w:eastAsia="zh-CN"/>
        </w:rPr>
      </w:pPr>
      <w:r>
        <w:rPr>
          <w:rFonts w:hint="default"/>
          <w:lang w:val="en-US" w:eastAsia="zh-CN"/>
        </w:rPr>
        <w:t>Objective</w:t>
      </w:r>
      <w:r>
        <w:rPr>
          <w:rFonts w:hint="default"/>
          <w:lang w:eastAsia="zh-CN"/>
        </w:rPr>
        <w:t>:</w:t>
      </w:r>
      <w:r>
        <w:rPr>
          <w:rFonts w:hint="default"/>
          <w:lang w:val="en-US" w:eastAsia="zh-CN"/>
        </w:rPr>
        <w:t>To explore the related factors and management principles of postoperative complications of ventricular-peritoneal shunt.</w:t>
      </w:r>
    </w:p>
    <w:p>
      <w:pPr>
        <w:pStyle w:val="5"/>
        <w:spacing w:before="90" w:line="280" w:lineRule="auto"/>
        <w:ind w:left="100"/>
        <w:jc w:val="both"/>
        <w:rPr>
          <w:rFonts w:hint="default"/>
          <w:lang w:val="en-US" w:eastAsia="zh-CN"/>
        </w:rPr>
      </w:pPr>
      <w:r>
        <w:rPr>
          <w:rFonts w:hint="default"/>
          <w:lang w:val="en-US" w:eastAsia="zh-CN"/>
        </w:rPr>
        <w:t>Methods</w:t>
      </w:r>
      <w:r>
        <w:rPr>
          <w:rFonts w:hint="default"/>
          <w:lang w:eastAsia="zh-CN"/>
        </w:rPr>
        <w:t>:</w:t>
      </w:r>
      <w:r>
        <w:rPr>
          <w:rFonts w:hint="default"/>
          <w:lang w:val="en-US" w:eastAsia="zh-CN"/>
        </w:rPr>
        <w:t xml:space="preserve">450 patients who underwent </w:t>
      </w:r>
      <w:bookmarkStart w:id="0" w:name="OLE_LINK1"/>
      <w:r>
        <w:rPr>
          <w:rFonts w:hint="default"/>
          <w:lang w:val="en-US" w:eastAsia="zh-CN"/>
        </w:rPr>
        <w:t>ventricular-peritoneal shunt</w:t>
      </w:r>
      <w:bookmarkEnd w:id="0"/>
      <w:r>
        <w:rPr>
          <w:rFonts w:hint="default"/>
          <w:lang w:val="en-US" w:eastAsia="zh-CN"/>
        </w:rPr>
        <w:t xml:space="preserve"> in our hospital were selected and followed up for at least 5 years. The age, gender, history of disease, classification of hydrocephalus, surgical method, type of shunt tube, postoperative complications and other factors were analyzed. </w:t>
      </w:r>
      <w:r>
        <w:rPr>
          <w:rFonts w:hint="eastAsia"/>
          <w:lang w:val="en-US" w:eastAsia="zh-CN"/>
        </w:rPr>
        <w:t>P</w:t>
      </w:r>
      <w:r>
        <w:rPr>
          <w:rFonts w:hint="default"/>
          <w:lang w:val="en-US" w:eastAsia="zh-CN"/>
        </w:rPr>
        <w:t>atients with complications were treated and the clinical treatment effect was analyzed.</w:t>
      </w:r>
    </w:p>
    <w:p>
      <w:pPr>
        <w:pStyle w:val="5"/>
        <w:spacing w:before="90" w:line="280" w:lineRule="auto"/>
        <w:ind w:left="100"/>
        <w:jc w:val="both"/>
        <w:rPr>
          <w:rFonts w:hint="default"/>
          <w:lang w:val="en-US" w:eastAsia="zh-CN"/>
        </w:rPr>
      </w:pPr>
      <w:r>
        <w:rPr>
          <w:rFonts w:hint="default"/>
          <w:lang w:val="en-US" w:eastAsia="zh-CN"/>
        </w:rPr>
        <w:t>Results</w:t>
      </w:r>
      <w:r>
        <w:rPr>
          <w:rFonts w:hint="default"/>
          <w:lang w:eastAsia="zh-CN"/>
        </w:rPr>
        <w:t>:</w:t>
      </w:r>
      <w:r>
        <w:rPr>
          <w:rFonts w:hint="default"/>
          <w:lang w:val="en-US" w:eastAsia="zh-CN"/>
        </w:rPr>
        <w:t>Complications occurred in patients, including puncture bleeding, obstruction of shunt tube (decomposition, rupture), intracranial infection, subdural effusion or subdural hematoma caused by excessive drainage, and delayed intracranial hematoma. Patients can still get a good prognosis after individualized treatment.</w:t>
      </w:r>
    </w:p>
    <w:p>
      <w:pPr>
        <w:pStyle w:val="5"/>
        <w:spacing w:before="90" w:line="280" w:lineRule="auto"/>
        <w:ind w:left="100"/>
        <w:jc w:val="both"/>
        <w:rPr>
          <w:rFonts w:hint="default"/>
          <w:lang w:val="en-US" w:eastAsia="zh-CN"/>
        </w:rPr>
      </w:pPr>
      <w:r>
        <w:rPr>
          <w:rFonts w:hint="default"/>
          <w:lang w:val="en-US" w:eastAsia="zh-CN"/>
        </w:rPr>
        <w:t>Conclusions</w:t>
      </w:r>
      <w:r>
        <w:rPr>
          <w:rFonts w:hint="default"/>
          <w:lang w:eastAsia="zh-CN"/>
        </w:rPr>
        <w:t>:</w:t>
      </w:r>
      <w:r>
        <w:rPr>
          <w:rFonts w:hint="default"/>
          <w:lang w:val="en-US" w:eastAsia="zh-CN"/>
        </w:rPr>
        <w:t xml:space="preserve">The incidence of postoperative complications of ventricular-peritoneal shunt is not low. Surgery indications should be strictly grasped before surgery. Strict aseptic operation should be performed during the operation. Patients with a previous history of central nervous system infection </w:t>
      </w:r>
      <w:r>
        <w:rPr>
          <w:rFonts w:hint="eastAsia"/>
          <w:lang w:val="en-US" w:eastAsia="zh-CN"/>
        </w:rPr>
        <w:t>or</w:t>
      </w:r>
      <w:r>
        <w:rPr>
          <w:rFonts w:hint="default"/>
          <w:lang w:val="en-US" w:eastAsia="zh-CN"/>
        </w:rPr>
        <w:t xml:space="preserve"> craniocerebral surgery should be more cautious. Early skull repair combined with ventricular-peritoneal shunt is positive significance for improving the quality of life of patients undergoing brain surgery. </w:t>
      </w:r>
      <w:r>
        <w:rPr>
          <w:rFonts w:hint="eastAsia"/>
          <w:lang w:val="en-US" w:eastAsia="zh-CN"/>
        </w:rPr>
        <w:t>Patients</w:t>
      </w:r>
      <w:r>
        <w:rPr>
          <w:rFonts w:hint="default"/>
          <w:lang w:val="en-US" w:eastAsia="zh-CN"/>
        </w:rPr>
        <w:t xml:space="preserve"> with complications should be treated individually.</w:t>
      </w:r>
    </w:p>
    <w:p>
      <w:pPr>
        <w:pStyle w:val="5"/>
        <w:spacing w:before="90" w:line="280" w:lineRule="auto"/>
        <w:ind w:left="100"/>
        <w:jc w:val="both"/>
      </w:pPr>
    </w:p>
    <w:p>
      <w:pPr>
        <w:spacing w:line="204" w:lineRule="exact"/>
        <w:rPr>
          <w:rFonts w:ascii="Arial"/>
          <w:b/>
          <w:sz w:val="20"/>
        </w:rPr>
      </w:pPr>
      <w:r>
        <w:rPr>
          <w:b w:val="0"/>
        </w:rPr>
        <w:br w:type="column"/>
      </w:r>
      <w:r>
        <w:rPr>
          <w:rFonts w:ascii="Arial"/>
          <w:b/>
          <w:color w:val="BF5A14"/>
          <w:sz w:val="20"/>
        </w:rPr>
        <w:br w:type="textWrapping"/>
      </w:r>
      <w:r>
        <w:rPr>
          <w:rFonts w:ascii="Arial"/>
          <w:b/>
          <w:color w:val="BF5A14"/>
          <w:sz w:val="20"/>
        </w:rPr>
        <w:t xml:space="preserve">Recent Publications </w:t>
      </w:r>
    </w:p>
    <w:p>
      <w:pPr>
        <w:pStyle w:val="13"/>
        <w:numPr>
          <w:ilvl w:val="0"/>
          <w:numId w:val="1"/>
        </w:numPr>
        <w:tabs>
          <w:tab w:val="left" w:pos="384"/>
        </w:tabs>
        <w:spacing w:line="216" w:lineRule="exact"/>
        <w:ind w:right="138" w:hanging="283"/>
        <w:rPr>
          <w:rFonts w:hint="eastAsia"/>
          <w:sz w:val="18"/>
        </w:rPr>
      </w:pPr>
      <w:r>
        <w:rPr>
          <w:sz w:val="18"/>
          <w:lang w:val="en-US" w:eastAsia="zh-CN"/>
        </w:rPr>
        <w:t>Ren, Siyang; Xu, Yinghui</w:t>
      </w:r>
      <w:r>
        <w:rPr>
          <w:sz w:val="18"/>
          <w:lang w:eastAsia="zh-CN"/>
        </w:rPr>
        <w:t xml:space="preserve"> (2019) </w:t>
      </w:r>
      <w:r>
        <w:rPr>
          <w:rFonts w:hint="eastAsia"/>
          <w:sz w:val="18"/>
        </w:rPr>
        <w:t>AC016405.3, a novel long noncoding RNA, acts as a tumor suppressor through modulation of TET2 by microRNA-19a-5p sponging in glioblastoma</w:t>
      </w:r>
      <w:r>
        <w:rPr>
          <w:rFonts w:hint="default"/>
          <w:sz w:val="18"/>
        </w:rPr>
        <w:t xml:space="preserve">. </w:t>
      </w:r>
      <w:r>
        <w:rPr>
          <w:rFonts w:hint="eastAsia"/>
          <w:sz w:val="18"/>
        </w:rPr>
        <w:t>CANCER SCIENCE , 2019, MAY ; 110 ( 5 ): 1621 - 1632.</w:t>
      </w:r>
    </w:p>
    <w:p>
      <w:pPr>
        <w:pStyle w:val="13"/>
        <w:numPr>
          <w:ilvl w:val="0"/>
          <w:numId w:val="1"/>
        </w:numPr>
        <w:tabs>
          <w:tab w:val="left" w:pos="384"/>
        </w:tabs>
        <w:spacing w:before="92" w:line="218" w:lineRule="exact"/>
        <w:ind w:hanging="283"/>
        <w:rPr>
          <w:rFonts w:hint="default"/>
          <w:sz w:val="18"/>
          <w:lang w:eastAsia="zh-CN"/>
        </w:rPr>
      </w:pPr>
      <w:r>
        <w:rPr>
          <w:sz w:val="18"/>
          <w:lang w:val="en-US" w:eastAsia="zh-CN"/>
        </w:rPr>
        <w:t>Cheng, Tianci; Xu, Yinghui</w:t>
      </w:r>
      <w:r>
        <w:rPr>
          <w:sz w:val="18"/>
          <w:lang w:eastAsia="zh-CN"/>
        </w:rPr>
        <w:t xml:space="preserve"> (2018) E</w:t>
      </w:r>
      <w:r>
        <w:rPr>
          <w:rFonts w:hint="eastAsia"/>
          <w:sz w:val="18"/>
          <w:lang w:eastAsia="zh-CN"/>
        </w:rPr>
        <w:t>ffects of Enhancer of Zeste Homolog 2 (EZH2) Expression on Brain Glioma Cell Proliferation and Tumorigenesis</w:t>
      </w:r>
      <w:r>
        <w:rPr>
          <w:rFonts w:hint="default"/>
          <w:sz w:val="18"/>
          <w:lang w:eastAsia="zh-CN"/>
        </w:rPr>
        <w:t>.MEDICAL SCIENCE MONITOR , 2018,October; 24 ( ): 7249 - 7255.</w:t>
      </w:r>
    </w:p>
    <w:p>
      <w:pPr>
        <w:pStyle w:val="13"/>
        <w:numPr>
          <w:ilvl w:val="0"/>
          <w:numId w:val="1"/>
        </w:numPr>
        <w:tabs>
          <w:tab w:val="left" w:pos="384"/>
        </w:tabs>
        <w:spacing w:before="92" w:line="218" w:lineRule="exact"/>
        <w:ind w:hanging="283"/>
        <w:rPr>
          <w:rFonts w:hint="default"/>
          <w:sz w:val="18"/>
          <w:lang w:eastAsia="zh-CN"/>
        </w:rPr>
      </w:pPr>
      <w:r>
        <w:rPr>
          <w:rFonts w:hint="default"/>
          <w:sz w:val="18"/>
          <w:lang w:val="en-US" w:eastAsia="zh-CN"/>
        </w:rPr>
        <w:t>Zhao, Jun; Zhu, Jiabin; Lv, Xiaoshu; Xing, Jinshan; Liu, Shuang; Chen, Chen; Xu, Yinghui</w:t>
      </w:r>
      <w:r>
        <w:rPr>
          <w:rFonts w:hint="default"/>
          <w:sz w:val="18"/>
          <w:lang w:eastAsia="zh-CN"/>
        </w:rPr>
        <w:t xml:space="preserve"> (2017) Curcumin potentiates the potent antitumor activity of ACN against glioblastoma by suppressing the PI3K/AKT and NF-kappa B/COX-2 signaling pathways. ONCOTARGETS AND THERAPY , 2017, ; 10 ( ): 5471 - 5482.</w:t>
      </w:r>
    </w:p>
    <w:p>
      <w:pPr>
        <w:pStyle w:val="13"/>
        <w:numPr>
          <w:ilvl w:val="0"/>
          <w:numId w:val="1"/>
        </w:numPr>
        <w:tabs>
          <w:tab w:val="left" w:pos="384"/>
        </w:tabs>
        <w:spacing w:before="92" w:line="218" w:lineRule="exact"/>
        <w:ind w:hanging="283"/>
        <w:rPr>
          <w:rFonts w:hint="default"/>
          <w:sz w:val="18"/>
          <w:lang w:eastAsia="zh-CN"/>
        </w:rPr>
      </w:pPr>
      <w:r>
        <w:rPr>
          <w:rFonts w:hint="default"/>
          <w:sz w:val="18"/>
          <w:lang w:eastAsia="zh-CN"/>
        </w:rPr>
        <w:t>D</w:t>
      </w:r>
      <w:r>
        <w:rPr>
          <w:rFonts w:hint="default"/>
          <w:sz w:val="18"/>
          <w:lang w:val="en-US" w:eastAsia="zh-CN"/>
        </w:rPr>
        <w:t>iao, Shuo; Zheng, Qianqian; Gao, Jian; Yao, Yiqun; Ren, Siyang; Liu, Yongjian; Xu, Yinghui</w:t>
      </w:r>
      <w:r>
        <w:rPr>
          <w:rFonts w:hint="default"/>
          <w:sz w:val="18"/>
          <w:lang w:eastAsia="zh-CN"/>
        </w:rPr>
        <w:t xml:space="preserve"> (2017) Trefoil factor 3 contributes to the malignancy of glioma via regulating HIF-1 alpha. ONCOTARGET , 2017, SEP 29 ; 8 ( 44 ): 76770 - 76782.</w:t>
      </w:r>
    </w:p>
    <w:p>
      <w:pPr>
        <w:pStyle w:val="13"/>
        <w:numPr>
          <w:ilvl w:val="0"/>
          <w:numId w:val="1"/>
        </w:numPr>
        <w:tabs>
          <w:tab w:val="left" w:pos="384"/>
        </w:tabs>
        <w:spacing w:before="92" w:line="218" w:lineRule="exact"/>
        <w:ind w:hanging="283"/>
        <w:rPr>
          <w:rFonts w:hint="default"/>
          <w:sz w:val="18"/>
          <w:lang w:eastAsia="zh-CN"/>
        </w:rPr>
      </w:pPr>
      <w:r>
        <w:rPr>
          <w:rFonts w:hint="default"/>
          <w:sz w:val="18"/>
          <w:lang w:val="en-US" w:eastAsia="zh-CN"/>
        </w:rPr>
        <w:t>Wang, Jinkui; Yu, Zhenlong; Wang, Chao; Tian, Xiangge; Huo, Xiaokui; Wang, Yan; Sun, Chengpeng; Feng, Lei; Ma, Jing; Zhang, Baojing; Yang, Qining; Ma, Xiaochi; Xu, Yinghui</w:t>
      </w:r>
      <w:r>
        <w:rPr>
          <w:rFonts w:hint="default"/>
          <w:sz w:val="18"/>
          <w:lang w:eastAsia="zh-CN"/>
        </w:rPr>
        <w:t xml:space="preserve"> (2017) Dehydrocostus lactone, a natural sesquiterpene lactone, suppresses the biological characteristics of glioma, through inhibition of the NF-kB/COX-2 signaling pathway by targeting IKK beta.AMERICAN JOURNAL OF CANCER RESEARCH , 2017, ; 7 ( 6 ): 1270 - +.</w:t>
      </w:r>
    </w:p>
    <w:p>
      <w:pPr>
        <w:pStyle w:val="13"/>
        <w:numPr>
          <w:numId w:val="0"/>
        </w:numPr>
        <w:tabs>
          <w:tab w:val="left" w:pos="384"/>
        </w:tabs>
        <w:spacing w:before="92" w:line="218" w:lineRule="exact"/>
        <w:rPr>
          <w:rFonts w:hint="default"/>
          <w:sz w:val="18"/>
          <w:lang w:eastAsia="zh-CN"/>
        </w:rPr>
      </w:pP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sz w:val="20"/>
        </w:rPr>
      </w:pP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mSUQYdQAAAADAQAADwAAAAAAAAABACAAAAA4AAAA&#10;ZHJzL2Rvd25yZXYueG1sUEsBAhQAFAAAAAgAh07iQHfzMZH1AQAARwQAAA4AAAAAAAAAAQAgAAAA&#10;OQEAAGRycy9lMm9Eb2MueG1sUEsFBgAAAAAGAAYAWQEAAKAFAAAAAA==&#10;">
                <o:lock v:ext="edit" aspectratio="f"/>
                <v:line id="Line 5" o:spid="_x0000_s1026" o:spt="20" style="position:absolute;left:20;top:20;height:0;width:6221;" filled="f" stroked="t" coordsize="21600,21600" o:gfxdata="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Je08buQAAANsAAAAPAAAAAAAAAAEAIAAAADgAAABkcnMvZG93bnJldi54bWxQ&#10;SwECFAAUAAAACACHTuJAMy8FnjsAAAA5AAAAEAAAAAAAAAABACAAAAAeAQAAZHJzL3NoYXBleG1s&#10;LnhtbFBLBQYAAAAABgAGAFsBAADIAw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lang w:val="en-IN" w:eastAsia="en-IN"/>
        </w:rPr>
        <w:drawing>
          <wp:inline distT="0" distB="0" distL="0" distR="0">
            <wp:extent cx="466725" cy="622935"/>
            <wp:effectExtent l="0" t="0" r="15875" b="12065"/>
            <wp:docPr id="5" name="Picture 5" descr="/Users/evis/Desktop/34th ENC/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sers/evis/Desktop/34th ENC/图片1.png图片1"/>
                    <pic:cNvPicPr>
                      <a:picLocks noChangeAspect="1" noChangeArrowheads="1"/>
                    </pic:cNvPicPr>
                  </pic:nvPicPr>
                  <pic:blipFill>
                    <a:blip r:embed="rId6"/>
                    <a:srcRect/>
                    <a:stretch>
                      <a:fillRect/>
                    </a:stretch>
                  </pic:blipFill>
                  <pic:spPr>
                    <a:xfrm>
                      <a:off x="0" y="0"/>
                      <a:ext cx="466725" cy="625069"/>
                    </a:xfrm>
                    <a:prstGeom prst="rect">
                      <a:avLst/>
                    </a:prstGeom>
                    <a:noFill/>
                    <a:ln>
                      <a:noFill/>
                    </a:ln>
                  </pic:spPr>
                </pic:pic>
              </a:graphicData>
            </a:graphic>
          </wp:inline>
        </w:drawing>
      </w:r>
      <w:r>
        <w:t xml:space="preserve">    </w:t>
      </w:r>
      <w:r>
        <w:rPr>
          <w:rFonts w:ascii="Arial"/>
          <w:color w:val="BF5A14"/>
        </w:rPr>
        <w:t xml:space="preserve">Biography </w:t>
      </w:r>
    </w:p>
    <w:p>
      <w:pPr>
        <w:spacing w:before="62"/>
        <w:ind w:right="4235" w:firstLine="210" w:firstLineChars="150"/>
        <w:jc w:val="both"/>
        <w:rPr>
          <w:rFonts w:ascii="Arial"/>
          <w:sz w:val="14"/>
        </w:rPr>
      </w:pPr>
      <w:r>
        <w:rPr>
          <w:rFonts w:hint="eastAsia" w:ascii="Arial"/>
          <w:sz w:val="14"/>
          <w:lang w:val="en-US" w:eastAsia="zh-CN"/>
        </w:rPr>
        <w:t>Xu Ying-hui</w:t>
      </w:r>
      <w:r>
        <w:rPr>
          <w:rFonts w:ascii="Arial"/>
          <w:sz w:val="14"/>
        </w:rPr>
        <w:t xml:space="preserve"> completed his PhD </w:t>
      </w:r>
      <w:r>
        <w:rPr>
          <w:rFonts w:hint="eastAsia" w:ascii="Arial"/>
          <w:sz w:val="14"/>
          <w:lang w:val="en-US" w:eastAsia="zh-CN"/>
        </w:rPr>
        <w:t>in 2004</w:t>
      </w:r>
      <w:r>
        <w:rPr>
          <w:rFonts w:ascii="Arial"/>
          <w:sz w:val="14"/>
        </w:rPr>
        <w:t xml:space="preserve"> from </w:t>
      </w:r>
      <w:r>
        <w:rPr>
          <w:rFonts w:hint="eastAsia" w:ascii="Arial"/>
          <w:sz w:val="14"/>
        </w:rPr>
        <w:t>Shanghai Jiao Tong University School of Medicine</w:t>
      </w:r>
      <w:r>
        <w:rPr>
          <w:rFonts w:ascii="Arial"/>
          <w:sz w:val="14"/>
        </w:rPr>
        <w:t xml:space="preserve">. He is the </w:t>
      </w:r>
      <w:r>
        <w:rPr>
          <w:rFonts w:hint="eastAsia" w:ascii="Arial"/>
          <w:sz w:val="14"/>
          <w:lang w:val="en-US" w:eastAsia="zh-CN"/>
        </w:rPr>
        <w:t>d</w:t>
      </w:r>
      <w:r>
        <w:rPr>
          <w:rFonts w:hint="eastAsia" w:ascii="Arial"/>
          <w:sz w:val="14"/>
        </w:rPr>
        <w:t>ean of the First Affiliated Hospital of Dalian Medical University</w:t>
      </w:r>
      <w:r>
        <w:rPr>
          <w:rFonts w:hint="eastAsia" w:ascii="Arial"/>
          <w:sz w:val="14"/>
          <w:lang w:val="en-US" w:eastAsia="zh-CN"/>
        </w:rPr>
        <w:t xml:space="preserve"> and vice President of Dalian Medical University.</w:t>
      </w:r>
      <w:r>
        <w:rPr>
          <w:rFonts w:ascii="Arial"/>
          <w:sz w:val="14"/>
        </w:rPr>
        <w:t xml:space="preserve"> He has published more than 2</w:t>
      </w:r>
      <w:r>
        <w:rPr>
          <w:rFonts w:hint="eastAsia" w:ascii="Arial"/>
          <w:sz w:val="14"/>
          <w:lang w:val="en-US" w:eastAsia="zh-CN"/>
        </w:rPr>
        <w:t>0</w:t>
      </w:r>
      <w:r>
        <w:rPr>
          <w:rFonts w:ascii="Arial"/>
          <w:sz w:val="14"/>
        </w:rPr>
        <w:t xml:space="preserve"> papers in reputed journals.</w:t>
      </w:r>
    </w:p>
    <w:p>
      <w:pPr>
        <w:spacing w:before="62"/>
        <w:ind w:right="4235" w:firstLine="210" w:firstLineChars="150"/>
        <w:jc w:val="both"/>
        <w:rPr>
          <w:rStyle w:val="11"/>
          <w:rFonts w:ascii="Arial"/>
          <w:sz w:val="14"/>
        </w:rPr>
      </w:pPr>
      <w:r>
        <w:rPr>
          <w:rFonts w:ascii="Arial"/>
          <w:sz w:val="14"/>
        </w:rPr>
        <w:t xml:space="preserve">Email: </w:t>
      </w:r>
      <w:r>
        <w:rPr>
          <w:rFonts w:ascii="Arial"/>
          <w:sz w:val="14"/>
        </w:rPr>
        <w:t>xuyh_dl@126.com</w:t>
      </w:r>
    </w:p>
    <w:p>
      <w:pPr>
        <w:spacing w:before="62"/>
        <w:ind w:left="4217" w:right="4235"/>
        <w:jc w:val="center"/>
        <w:rPr>
          <w:rFonts w:ascii="Arial"/>
          <w:sz w:val="14"/>
        </w:rPr>
      </w:pPr>
      <w:r>
        <w:rPr>
          <w:rStyle w:val="11"/>
          <w:rFonts w:ascii="Arial"/>
          <w:color w:val="auto"/>
          <w:sz w:val="14"/>
          <w:u w:val="none"/>
        </w:rPr>
        <w:t>Phone: +</w:t>
      </w:r>
      <w:r>
        <w:rPr>
          <w:rStyle w:val="11"/>
          <w:rFonts w:ascii="Arial"/>
          <w:color w:val="auto"/>
          <w:sz w:val="14"/>
          <w:u w:val="none"/>
        </w:rPr>
        <w:t>86-0411-83635963</w:t>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DilAb9YAAAAJAQAADwAAAAAAAAABACAAAAA4AAAAZHJzL2Rvd25y&#10;ZXYueG1sUEsBAhQAFAAAAAgAh07iQJpzptexAQAAUgMAAA4AAAAAAAAAAQAgAAAAOwEAAGRycy9l&#10;Mm9Eb2MueG1sUEsFBgAAAAAGAAYAWQEAAF4FA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bookmarkStart w:id="1" w:name="_GoBack"/>
      <w:bookmarkEnd w:id="1"/>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w:altName w:val="Helvetica Neue"/>
    <w:panose1 w:val="020F0502020204030204"/>
    <w:charset w:val="86"/>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Tw Cen MT">
    <w:altName w:val="苹方-简"/>
    <w:panose1 w:val="020B0602020104020603"/>
    <w:charset w:val="00"/>
    <w:family w:val="swiss"/>
    <w:pitch w:val="default"/>
    <w:sig w:usb0="00000000" w:usb1="00000000" w:usb2="00000000" w:usb3="00000000" w:csb0="00000003" w:csb1="00000000"/>
  </w:font>
  <w:font w:name="Minion Pro">
    <w:altName w:val="苹方-简"/>
    <w:panose1 w:val="00000000000000000000"/>
    <w:charset w:val="00"/>
    <w:family w:val="roman"/>
    <w:pitch w:val="default"/>
    <w:sig w:usb0="00000000" w:usb1="00000000" w:usb2="00000000" w:usb3="00000000" w:csb0="0000019F" w:csb1="00000000"/>
  </w:font>
  <w:font w:name="Arial">
    <w:panose1 w:val="020B0604020202090204"/>
    <w:charset w:val="00"/>
    <w:family w:val="swiss"/>
    <w:pitch w:val="default"/>
    <w:sig w:usb0="E0000AFF" w:usb1="00007843" w:usb2="00000001" w:usb3="00000000" w:csb0="400001BF" w:csb1="DFF70000"/>
  </w:font>
  <w:font w:name="Tahoma">
    <w:panose1 w:val="020B0604030504040204"/>
    <w:charset w:val="00"/>
    <w:family w:val="swiss"/>
    <w:pitch w:val="default"/>
    <w:sig w:usb0="E1002AFF" w:usb1="C000605B" w:usb2="00000029" w:usb3="00000000" w:csb0="200101FF" w:csb1="20280000"/>
  </w:font>
  <w:font w:name="Myriad Pro">
    <w:altName w:val="苹方-简"/>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libri">
    <w:altName w:val="Helvetica Neue"/>
    <w:panose1 w:val="00000000000000000000"/>
    <w:charset w:val="00"/>
    <w:family w:val="auto"/>
    <w:pitch w:val="default"/>
    <w:sig w:usb0="00000000" w:usb1="00000000" w:usb2="00000000" w:usb3="00000000" w:csb0="00000000" w:csb1="00000000"/>
  </w:font>
  <w:font w:name="Helvetica Neue">
    <w:panose1 w:val="02000503000000020004"/>
    <w:charset w:val="86"/>
    <w:family w:val="swiss"/>
    <w:pitch w:val="default"/>
    <w:sig w:usb0="E50002FF" w:usb1="500079DB" w:usb2="00000010" w:usb3="00000000" w:csb0="00000000" w:csb1="00000000"/>
  </w:font>
  <w:font w:name="Gautami">
    <w:altName w:val="苹方-简"/>
    <w:panose1 w:val="020B0502040204020203"/>
    <w:charset w:val="00"/>
    <w:family w:val="swiss"/>
    <w:pitch w:val="default"/>
    <w:sig w:usb0="00000000" w:usb1="00000000" w:usb2="00000000" w:usb3="00000000" w:csb0="00000001" w:csb1="00000000"/>
  </w:font>
  <w:font w:name="MS PGothic">
    <w:altName w:val="苹方-简"/>
    <w:panose1 w:val="020B0600070205080204"/>
    <w:charset w:val="00"/>
    <w:family w:val="swiss"/>
    <w:pitch w:val="default"/>
    <w:sig w:usb0="00000000" w:usb1="00000000" w:usb2="08000012" w:usb3="00000000" w:csb0="4002009F" w:csb1="DFD70000"/>
  </w:font>
  <w:font w:name="Batang">
    <w:altName w:val="Apple SD Gothic Neo"/>
    <w:panose1 w:val="02030600000101010101"/>
    <w:charset w:val="00"/>
    <w:family w:val="roman"/>
    <w:pitch w:val="default"/>
    <w:sig w:usb0="00000000" w:usb1="00000000" w:usb2="00000030" w:usb3="00000000" w:csb0="0008009F" w:csb1="00000000"/>
  </w:font>
  <w:font w:name="Apple SD Gothic Neo">
    <w:panose1 w:val="02000300000000000000"/>
    <w:charset w:val="81"/>
    <w:family w:val="auto"/>
    <w:pitch w:val="default"/>
    <w:sig w:usb0="00000203" w:usb1="21D12C10" w:usb2="00000010" w:usb3="00000000" w:csb0="00280005" w:csb1="00000000"/>
  </w:font>
  <w:font w:name="pingfang sc">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AQCW6k2gAAAAwBAAAPAAAAAAAAAAEAIAAAADgAAABkcnMvZG93bnJldi54&#10;bWxQSwECFAAUAAAACACHTuJAgJAuT+IBAAC2AwAADgAAAAAAAAABACAAAAA/AQAAZHJzL2Uyb0Rv&#10;Yy54bWxQSwUGAAAAAAYABgBZAQAAkwU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H4DWCTaAAAADQEAAA8AAAAAAAAAAQAgAAAAOAAAAGRycy9kb3ducmV2Lnht&#10;bFBLAQIUABQAAAAIAIdO4kBb0Vk74QEAALYDAAAOAAAAAAAAAAEAIAAAAD8BAABkcnMvZTJvRG9j&#10;LnhtbFBLBQYAAAAABgAGAFkBAACSBQ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MGzGdnbAAAADgEAAA8AAAAAAAAAAQAgAAAAOAAAAGRycy9kb3ducmV2Lnht&#10;bFBLAQIUABQAAAAIAIdO4kAKJE494AEAALYDAAAOAAAAAAAAAAEAIAAAAEABAABkcnMvZTJvRG9j&#10;LnhtbFBLBQYAAAAABgAGAFkBAACSBQ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TC9BWtgAAAAKAQAADwAAAAAAAAABACAAAAA4AAAAZHJzL2Rvd25yZXYueG1s&#10;UEsBAhQAFAAAAAgAh07iQLFBQRLiAQAAtwMAAA4AAAAAAAAAAQAgAAAAPQEAAGRycy9lMm9Eb2Mu&#10;eG1sUEsFBgAAAAAGAAYAWQEAAJEFAA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4444E"/>
    <w:rsid w:val="00873DF0"/>
    <w:rsid w:val="008756E6"/>
    <w:rsid w:val="009B2D44"/>
    <w:rsid w:val="00A07E82"/>
    <w:rsid w:val="00A62401"/>
    <w:rsid w:val="00A9710C"/>
    <w:rsid w:val="00AE3E37"/>
    <w:rsid w:val="00B21A57"/>
    <w:rsid w:val="00C33602"/>
    <w:rsid w:val="00CC00DB"/>
    <w:rsid w:val="00CD6F55"/>
    <w:rsid w:val="00DE3104"/>
    <w:rsid w:val="00E029EB"/>
    <w:rsid w:val="00F72EEA"/>
    <w:rsid w:val="00F84CAE"/>
    <w:rsid w:val="7EED6B5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unhideWhenUsed/>
    <w:uiPriority w:val="1"/>
  </w:style>
  <w:style w:type="table" w:default="1" w:styleId="12">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18"/>
    <w:qFormat/>
    <w:uiPriority w:val="1"/>
    <w:rPr>
      <w:sz w:val="18"/>
      <w:szCs w:val="18"/>
    </w:rPr>
  </w:style>
  <w:style w:type="paragraph" w:styleId="6">
    <w:name w:val="Balloon Text"/>
    <w:basedOn w:val="1"/>
    <w:link w:val="17"/>
    <w:unhideWhenUsed/>
    <w:uiPriority w:val="99"/>
    <w:rPr>
      <w:rFonts w:ascii="Tahoma" w:hAnsi="Tahoma" w:cs="Tahoma"/>
      <w:sz w:val="16"/>
      <w:szCs w:val="16"/>
    </w:rPr>
  </w:style>
  <w:style w:type="paragraph" w:styleId="7">
    <w:name w:val="footer"/>
    <w:basedOn w:val="1"/>
    <w:link w:val="16"/>
    <w:unhideWhenUsed/>
    <w:uiPriority w:val="99"/>
    <w:pPr>
      <w:tabs>
        <w:tab w:val="center" w:pos="4513"/>
        <w:tab w:val="right" w:pos="9026"/>
      </w:tabs>
    </w:pPr>
  </w:style>
  <w:style w:type="paragraph" w:styleId="8">
    <w:name w:val="header"/>
    <w:basedOn w:val="1"/>
    <w:link w:val="15"/>
    <w:unhideWhenUsed/>
    <w:uiPriority w:val="99"/>
    <w:pPr>
      <w:tabs>
        <w:tab w:val="center" w:pos="4513"/>
        <w:tab w:val="right" w:pos="9026"/>
      </w:tabs>
    </w:pPr>
  </w:style>
  <w:style w:type="paragraph" w:styleId="9">
    <w:name w:val="Normal (Web)"/>
    <w:basedOn w:val="1"/>
    <w:unhideWhenUsed/>
    <w:uiPriority w:val="99"/>
    <w:rPr>
      <w:sz w:val="24"/>
    </w:rPr>
  </w:style>
  <w:style w:type="character" w:styleId="11">
    <w:name w:val="Hyperlink"/>
    <w:basedOn w:val="10"/>
    <w:unhideWhenUsed/>
    <w:uiPriority w:val="99"/>
    <w:rPr>
      <w:color w:val="0000FF" w:themeColor="hyperlink"/>
      <w:u w:val="single"/>
      <w14:textFill>
        <w14:solidFill>
          <w14:schemeClr w14:val="hlink"/>
        </w14:solidFill>
      </w14:textFill>
    </w:rPr>
  </w:style>
  <w:style w:type="paragraph" w:customStyle="1" w:styleId="13">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4">
    <w:name w:val="Table Paragraph"/>
    <w:basedOn w:val="1"/>
    <w:qFormat/>
    <w:uiPriority w:val="1"/>
  </w:style>
  <w:style w:type="character" w:customStyle="1" w:styleId="15">
    <w:name w:val="Header Char"/>
    <w:basedOn w:val="10"/>
    <w:link w:val="8"/>
    <w:uiPriority w:val="99"/>
    <w:rPr>
      <w:rFonts w:ascii="Tw Cen MT" w:hAnsi="Tw Cen MT" w:eastAsia="Tw Cen MT" w:cs="Tw Cen MT"/>
    </w:rPr>
  </w:style>
  <w:style w:type="character" w:customStyle="1" w:styleId="16">
    <w:name w:val="Footer Char"/>
    <w:basedOn w:val="10"/>
    <w:link w:val="7"/>
    <w:uiPriority w:val="99"/>
    <w:rPr>
      <w:rFonts w:ascii="Tw Cen MT" w:hAnsi="Tw Cen MT" w:eastAsia="Tw Cen MT" w:cs="Tw Cen MT"/>
    </w:rPr>
  </w:style>
  <w:style w:type="character" w:customStyle="1" w:styleId="17">
    <w:name w:val="Balloon Text Char"/>
    <w:basedOn w:val="10"/>
    <w:link w:val="6"/>
    <w:semiHidden/>
    <w:uiPriority w:val="99"/>
    <w:rPr>
      <w:rFonts w:ascii="Tahoma" w:hAnsi="Tahoma" w:eastAsia="Tw Cen MT" w:cs="Tahoma"/>
      <w:sz w:val="16"/>
      <w:szCs w:val="16"/>
    </w:rPr>
  </w:style>
  <w:style w:type="character" w:customStyle="1" w:styleId="18">
    <w:name w:val="Body Text Char"/>
    <w:basedOn w:val="10"/>
    <w:link w:val="5"/>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544</Words>
  <Characters>3105</Characters>
  <Lines>25</Lines>
  <Paragraphs>7</Paragraphs>
  <ScaleCrop>false</ScaleCrop>
  <LinksUpToDate>false</LinksUpToDate>
  <CharactersWithSpaces>3642</CharactersWithSpaces>
  <Application>WPS Office_1.7.0.2619_F1E327BC-269C-435d-A152-05C5408002CA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2016-09-02T20:15:00Z</dcterms:created>
  <dc:creator>mehaboobi shaik</dc:creator>
  <cp:lastModifiedBy>evis</cp:lastModifiedBy>
  <dcterms:modified xsi:type="dcterms:W3CDTF">2019-12-15T11:40:54Z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2052-1.7.0.2619</vt:lpwstr>
  </property>
</Properties>
</file>