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374" w:lineRule="auto"/>
        <w:ind w:right="360"/>
        <w:rPr>
          <w:color w:val="000000"/>
          <w:sz w:val="20"/>
          <w:szCs w:val="20"/>
          <w:u w:color="000000"/>
        </w:rPr>
      </w:pPr>
      <w:r>
        <w:rPr>
          <w:rFonts w:ascii="Arial" w:hAnsi="Arial"/>
          <w:b w:val="1"/>
          <w:bCs w:val="1"/>
          <w:color w:val="000000"/>
          <w:sz w:val="24"/>
          <w:szCs w:val="24"/>
          <w:u w:color="000000"/>
          <w:rtl w:val="0"/>
          <w:lang w:val="en-US"/>
        </w:rPr>
        <w:t>Monitoring Intracranial pressure (ICP) in Severe Traumatic brain Injury decreases Mortality</w:t>
      </w:r>
    </w:p>
    <w:p>
      <w:pPr>
        <w:pStyle w:val="Body"/>
        <w:spacing w:line="100" w:lineRule="exact"/>
        <w:rPr>
          <w:color w:val="000000"/>
          <w:sz w:val="24"/>
          <w:szCs w:val="24"/>
          <w:u w:color="000000"/>
        </w:rPr>
      </w:pPr>
    </w:p>
    <w:p>
      <w:pPr>
        <w:pStyle w:val="Body"/>
        <w:spacing w:line="357" w:lineRule="auto"/>
        <w:ind w:right="100"/>
        <w:rPr>
          <w:color w:val="000000"/>
          <w:sz w:val="20"/>
          <w:szCs w:val="20"/>
          <w:u w:color="000000"/>
        </w:rPr>
      </w:pPr>
      <w:r>
        <w:rPr>
          <w:rFonts w:ascii="Arial" w:hAnsi="Arial"/>
          <w:b w:val="1"/>
          <w:bCs w:val="1"/>
          <w:color w:val="000000"/>
          <w:sz w:val="24"/>
          <w:szCs w:val="24"/>
          <w:u w:color="000000"/>
          <w:rtl w:val="0"/>
          <w:lang w:val="en-US"/>
        </w:rPr>
        <w:t xml:space="preserve">Objectives; </w:t>
      </w:r>
      <w:r>
        <w:rPr>
          <w:rFonts w:ascii="Arial" w:hAnsi="Arial"/>
          <w:color w:val="000000"/>
          <w:sz w:val="24"/>
          <w:szCs w:val="24"/>
          <w:u w:color="000000"/>
          <w:rtl w:val="0"/>
          <w:lang w:val="en-US"/>
        </w:rPr>
        <w:t>To evaluate the role of Intracranial pressure monitoring and early prognostic</w:t>
      </w:r>
      <w:r>
        <w:rPr>
          <w:rFonts w:ascii="Arial" w:hAnsi="Arial"/>
          <w:b w:val="1"/>
          <w:bCs w:val="1"/>
          <w:color w:val="000000"/>
          <w:sz w:val="24"/>
          <w:szCs w:val="24"/>
          <w:u w:color="000000"/>
          <w:rtl w:val="0"/>
        </w:rPr>
        <w:t xml:space="preserve"> </w:t>
      </w:r>
      <w:r>
        <w:rPr>
          <w:rFonts w:ascii="Arial" w:hAnsi="Arial"/>
          <w:color w:val="000000"/>
          <w:sz w:val="24"/>
          <w:szCs w:val="24"/>
          <w:u w:color="000000"/>
          <w:rtl w:val="0"/>
          <w:lang w:val="en-US"/>
        </w:rPr>
        <w:t>indicators of mortality in the management of Severe Traumatic brain injuries in adults.</w:t>
      </w:r>
    </w:p>
    <w:p>
      <w:pPr>
        <w:pStyle w:val="Body"/>
        <w:spacing w:line="139" w:lineRule="exact"/>
        <w:rPr>
          <w:color w:val="000000"/>
          <w:sz w:val="24"/>
          <w:szCs w:val="24"/>
          <w:u w:color="000000"/>
        </w:rPr>
      </w:pPr>
    </w:p>
    <w:p>
      <w:pPr>
        <w:pStyle w:val="Body"/>
        <w:spacing w:line="294" w:lineRule="auto"/>
        <w:ind w:right="120"/>
        <w:rPr>
          <w:color w:val="000000"/>
          <w:sz w:val="20"/>
          <w:szCs w:val="20"/>
          <w:u w:color="000000"/>
        </w:rPr>
      </w:pPr>
      <w:r>
        <w:rPr>
          <w:rFonts w:ascii="Arial" w:hAnsi="Arial"/>
          <w:b w:val="1"/>
          <w:bCs w:val="1"/>
          <w:color w:val="000000"/>
          <w:sz w:val="24"/>
          <w:szCs w:val="24"/>
          <w:u w:color="000000"/>
          <w:rtl w:val="0"/>
          <w:lang w:val="en-US"/>
        </w:rPr>
        <w:t xml:space="preserve">Background; </w:t>
      </w:r>
      <w:r>
        <w:rPr>
          <w:rFonts w:ascii="Arial" w:hAnsi="Arial"/>
          <w:color w:val="000000"/>
          <w:sz w:val="24"/>
          <w:szCs w:val="24"/>
          <w:u w:color="000000"/>
          <w:rtl w:val="0"/>
          <w:lang w:val="en-US"/>
        </w:rPr>
        <w:t>The outcome of patients with severe Traumatic Brain Injury (TBI) depends</w:t>
      </w:r>
      <w:r>
        <w:rPr>
          <w:rFonts w:ascii="Arial" w:hAnsi="Arial"/>
          <w:b w:val="1"/>
          <w:bCs w:val="1"/>
          <w:color w:val="000000"/>
          <w:sz w:val="24"/>
          <w:szCs w:val="24"/>
          <w:u w:color="000000"/>
          <w:rtl w:val="0"/>
        </w:rPr>
        <w:t xml:space="preserve"> </w:t>
      </w:r>
      <w:r>
        <w:rPr>
          <w:rFonts w:ascii="Arial" w:hAnsi="Arial"/>
          <w:color w:val="000000"/>
          <w:sz w:val="24"/>
          <w:szCs w:val="24"/>
          <w:u w:color="000000"/>
          <w:rtl w:val="0"/>
          <w:lang w:val="en-US"/>
        </w:rPr>
        <w:t>on various factors, and most important among them is the raised Intracranial Pressure(ICP) and mean arterial pressure(MAP). Monitoring ICP and MAP correlates with degree of cerebrovascular reactivity(autoreguation). However, routine use of ICP monitoring in severe TBI continues to be subject of controversy inspite of recommendations from Brain Trauma foundation guideline.</w:t>
      </w:r>
    </w:p>
    <w:p>
      <w:pPr>
        <w:pStyle w:val="Body"/>
        <w:spacing w:line="212" w:lineRule="exact"/>
        <w:rPr>
          <w:color w:val="000000"/>
          <w:sz w:val="24"/>
          <w:szCs w:val="24"/>
          <w:u w:color="000000"/>
        </w:rPr>
      </w:pPr>
    </w:p>
    <w:p>
      <w:pPr>
        <w:pStyle w:val="Body"/>
        <w:spacing w:line="289" w:lineRule="auto"/>
        <w:rPr>
          <w:color w:val="000000"/>
          <w:sz w:val="20"/>
          <w:szCs w:val="20"/>
          <w:u w:color="000000"/>
        </w:rPr>
      </w:pPr>
      <w:r>
        <w:rPr>
          <w:rFonts w:ascii="Arial" w:hAnsi="Arial"/>
          <w:b w:val="1"/>
          <w:bCs w:val="1"/>
          <w:color w:val="000000"/>
          <w:sz w:val="24"/>
          <w:szCs w:val="24"/>
          <w:u w:color="000000"/>
          <w:rtl w:val="0"/>
          <w:lang w:val="en-US"/>
        </w:rPr>
        <w:t xml:space="preserve">Materials and Method; </w:t>
      </w:r>
      <w:r>
        <w:rPr>
          <w:rFonts w:ascii="Arial" w:hAnsi="Arial"/>
          <w:color w:val="000000"/>
          <w:sz w:val="24"/>
          <w:szCs w:val="24"/>
          <w:u w:color="000000"/>
          <w:rtl w:val="0"/>
          <w:lang w:val="en-US"/>
        </w:rPr>
        <w:t>All adult patients with severe TBI from Jan 2008 to April 2016</w:t>
      </w:r>
      <w:r>
        <w:rPr>
          <w:rFonts w:ascii="Arial" w:hAnsi="Arial"/>
          <w:b w:val="1"/>
          <w:bCs w:val="1"/>
          <w:color w:val="000000"/>
          <w:sz w:val="24"/>
          <w:szCs w:val="24"/>
          <w:u w:color="000000"/>
          <w:rtl w:val="0"/>
        </w:rPr>
        <w:t xml:space="preserve"> </w:t>
      </w:r>
      <w:r>
        <w:rPr>
          <w:rFonts w:ascii="Arial" w:hAnsi="Arial"/>
          <w:color w:val="000000"/>
          <w:sz w:val="24"/>
          <w:szCs w:val="24"/>
          <w:u w:color="000000"/>
          <w:rtl w:val="0"/>
          <w:lang w:val="en-US"/>
        </w:rPr>
        <w:t>were included from single tertiary centre. Patients who died within 48 hours of admission were excluded. Severe TBI was defined as post resuscitation GCS score of 8 or less admitted to neurosurgical ICU. ICP-lowering treatment was given in 234 patients. ICP monitoring was done in 144 and 90 were treated without monitoring. Two week mortality was assessed in these patients. Early prognostic indicators of mortality, including age, admission GCS score, pupillary status, CT scanning findings, and hypotension were also assessed.</w:t>
      </w:r>
    </w:p>
    <w:p>
      <w:pPr>
        <w:pStyle w:val="Body"/>
        <w:spacing w:line="221" w:lineRule="exact"/>
        <w:rPr>
          <w:color w:val="000000"/>
          <w:sz w:val="24"/>
          <w:szCs w:val="24"/>
          <w:u w:color="000000"/>
        </w:rPr>
      </w:pPr>
    </w:p>
    <w:p>
      <w:pPr>
        <w:pStyle w:val="Body"/>
        <w:spacing w:line="294" w:lineRule="auto"/>
        <w:ind w:right="120"/>
        <w:rPr>
          <w:color w:val="000000"/>
          <w:sz w:val="20"/>
          <w:szCs w:val="20"/>
          <w:u w:color="000000"/>
        </w:rPr>
      </w:pPr>
      <w:r>
        <w:rPr>
          <w:rFonts w:ascii="Arial" w:hAnsi="Arial"/>
          <w:b w:val="1"/>
          <w:bCs w:val="1"/>
          <w:color w:val="000000"/>
          <w:sz w:val="24"/>
          <w:szCs w:val="24"/>
          <w:u w:color="000000"/>
          <w:rtl w:val="0"/>
        </w:rPr>
        <w:t xml:space="preserve">Results; </w:t>
      </w:r>
      <w:r>
        <w:rPr>
          <w:rFonts w:ascii="Arial" w:hAnsi="Arial"/>
          <w:color w:val="000000"/>
          <w:sz w:val="24"/>
          <w:szCs w:val="24"/>
          <w:u w:color="000000"/>
          <w:rtl w:val="0"/>
          <w:lang w:val="en-US"/>
        </w:rPr>
        <w:t>Eighty percent of severe TBI were young males. Hypotension was found in 19</w:t>
      </w:r>
      <w:r>
        <w:rPr>
          <w:rFonts w:ascii="Arial" w:hAnsi="Arial"/>
          <w:b w:val="1"/>
          <w:bCs w:val="1"/>
          <w:color w:val="000000"/>
          <w:sz w:val="24"/>
          <w:szCs w:val="24"/>
          <w:u w:color="000000"/>
          <w:rtl w:val="0"/>
        </w:rPr>
        <w:t xml:space="preserve"> </w:t>
      </w:r>
      <w:r>
        <w:rPr>
          <w:rFonts w:ascii="Arial" w:hAnsi="Arial"/>
          <w:color w:val="000000"/>
          <w:sz w:val="24"/>
          <w:szCs w:val="24"/>
          <w:u w:color="000000"/>
          <w:rtl w:val="0"/>
          <w:lang w:val="en-US"/>
        </w:rPr>
        <w:t>percent of patients. On admission 130 patients had GCS of 5 or less,where as 104 patients had GCS between 6-8. Two weeks mortality was 21percent who underwent ICP monitoring as compared to 37 percent who were managed without monitoring. Lower GCS of 5 or less had higher two week mortality. Patients having persistent hypotension had significantly higher mortality of 68 percent.</w:t>
      </w:r>
    </w:p>
    <w:p>
      <w:pPr>
        <w:pStyle w:val="Body"/>
        <w:spacing w:line="212" w:lineRule="exact"/>
        <w:rPr>
          <w:color w:val="000000"/>
          <w:sz w:val="24"/>
          <w:szCs w:val="24"/>
          <w:u w:color="000000"/>
        </w:rPr>
      </w:pPr>
    </w:p>
    <w:p>
      <w:pPr>
        <w:pStyle w:val="Body"/>
        <w:spacing w:line="317" w:lineRule="auto"/>
        <w:ind w:right="220"/>
      </w:pPr>
      <w:r>
        <w:rPr>
          <w:rFonts w:ascii="Arial" w:hAnsi="Arial"/>
          <w:b w:val="1"/>
          <w:bCs w:val="1"/>
          <w:color w:val="000000"/>
          <w:sz w:val="24"/>
          <w:szCs w:val="24"/>
          <w:u w:color="000000"/>
          <w:rtl w:val="0"/>
        </w:rPr>
        <w:t xml:space="preserve">Conclusion; </w:t>
      </w:r>
      <w:r>
        <w:rPr>
          <w:rFonts w:ascii="Arial" w:hAnsi="Arial"/>
          <w:color w:val="000000"/>
          <w:sz w:val="24"/>
          <w:szCs w:val="24"/>
          <w:u w:color="000000"/>
          <w:rtl w:val="0"/>
          <w:lang w:val="en-US"/>
        </w:rPr>
        <w:t>ICP-monitoring results in significantly lower mortality than in patients who</w:t>
      </w:r>
      <w:r>
        <w:rPr>
          <w:rFonts w:ascii="Arial" w:hAnsi="Arial"/>
          <w:b w:val="1"/>
          <w:bCs w:val="1"/>
          <w:color w:val="000000"/>
          <w:sz w:val="24"/>
          <w:szCs w:val="24"/>
          <w:u w:color="000000"/>
          <w:rtl w:val="0"/>
        </w:rPr>
        <w:t xml:space="preserve"> </w:t>
      </w:r>
      <w:r>
        <w:rPr>
          <w:rFonts w:ascii="Arial" w:hAnsi="Arial"/>
          <w:color w:val="000000"/>
          <w:sz w:val="24"/>
          <w:szCs w:val="24"/>
          <w:u w:color="000000"/>
          <w:rtl w:val="0"/>
          <w:lang w:val="en-US"/>
        </w:rPr>
        <w:t>were not ICP monitored. Lower GCS and Hypotension also contributed significantly in increasing mortality.</w:t>
      </w:r>
    </w:p>
    <w:sectPr>
      <w:headerReference w:type="default" r:id="rId4"/>
      <w:footerReference w:type="default" r:id="rId5"/>
      <w:pgSz w:w="11900" w:h="16840" w:orient="portrait"/>
      <w:pgMar w:top="1104" w:right="1180" w:bottom="1440" w:left="11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