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F92" w:rsidRDefault="00B40F92" w:rsidP="00EB1C77">
      <w:pPr>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 xml:space="preserve">              Riche-</w:t>
      </w:r>
      <w:proofErr w:type="spellStart"/>
      <w:r>
        <w:rPr>
          <w:rFonts w:ascii="Times New Roman" w:hAnsi="Times New Roman" w:cs="Times New Roman"/>
          <w:color w:val="000000"/>
          <w:sz w:val="16"/>
          <w:szCs w:val="16"/>
        </w:rPr>
        <w:t>Cannieu</w:t>
      </w:r>
      <w:proofErr w:type="spellEnd"/>
      <w:r>
        <w:rPr>
          <w:rFonts w:ascii="Times New Roman" w:hAnsi="Times New Roman" w:cs="Times New Roman"/>
          <w:color w:val="000000"/>
          <w:sz w:val="16"/>
          <w:szCs w:val="16"/>
        </w:rPr>
        <w:t xml:space="preserve"> anastomosis associated with carpal tunnel syndrome</w:t>
      </w:r>
      <w:r w:rsidR="009B3CB9">
        <w:rPr>
          <w:rFonts w:ascii="Times New Roman" w:hAnsi="Times New Roman" w:cs="Times New Roman"/>
          <w:color w:val="000000"/>
          <w:sz w:val="16"/>
          <w:szCs w:val="16"/>
        </w:rPr>
        <w:t xml:space="preserve">: </w:t>
      </w:r>
      <w:r w:rsidR="00B50647">
        <w:rPr>
          <w:rFonts w:ascii="Times New Roman" w:hAnsi="Times New Roman" w:cs="Times New Roman"/>
          <w:color w:val="000000"/>
          <w:sz w:val="16"/>
          <w:szCs w:val="16"/>
        </w:rPr>
        <w:t xml:space="preserve">A case report </w:t>
      </w:r>
    </w:p>
    <w:p w:rsidR="00B40F92" w:rsidRDefault="00B40F92" w:rsidP="00EB1C77">
      <w:pPr>
        <w:autoSpaceDE w:val="0"/>
        <w:autoSpaceDN w:val="0"/>
        <w:adjustRightInd w:val="0"/>
        <w:spacing w:after="0" w:line="240" w:lineRule="auto"/>
        <w:rPr>
          <w:rFonts w:ascii="Times New Roman" w:hAnsi="Times New Roman" w:cs="Times New Roman"/>
          <w:color w:val="000000"/>
          <w:sz w:val="16"/>
          <w:szCs w:val="16"/>
        </w:rPr>
      </w:pPr>
    </w:p>
    <w:p w:rsidR="00B40F92" w:rsidRDefault="00B40F92" w:rsidP="00EB1C77">
      <w:pPr>
        <w:autoSpaceDE w:val="0"/>
        <w:autoSpaceDN w:val="0"/>
        <w:adjustRightInd w:val="0"/>
        <w:spacing w:after="0" w:line="240" w:lineRule="auto"/>
        <w:rPr>
          <w:rFonts w:ascii="Times New Roman" w:hAnsi="Times New Roman" w:cs="Times New Roman"/>
          <w:color w:val="000000"/>
          <w:sz w:val="16"/>
          <w:szCs w:val="16"/>
        </w:rPr>
      </w:pPr>
    </w:p>
    <w:p w:rsidR="00EB1C77" w:rsidRPr="00B40F92" w:rsidRDefault="00EB1C77" w:rsidP="00EB1C77">
      <w:pPr>
        <w:autoSpaceDE w:val="0"/>
        <w:autoSpaceDN w:val="0"/>
        <w:adjustRightInd w:val="0"/>
        <w:spacing w:after="0" w:line="240" w:lineRule="auto"/>
        <w:rPr>
          <w:rFonts w:ascii="Times New Roman" w:hAnsi="Times New Roman" w:cs="Times New Roman"/>
          <w:color w:val="000000"/>
          <w:sz w:val="16"/>
          <w:szCs w:val="16"/>
        </w:rPr>
      </w:pPr>
      <w:r w:rsidRPr="00B40F92">
        <w:rPr>
          <w:rFonts w:ascii="Times New Roman" w:hAnsi="Times New Roman" w:cs="Times New Roman"/>
          <w:color w:val="000000"/>
          <w:sz w:val="16"/>
          <w:szCs w:val="16"/>
        </w:rPr>
        <w:t>1. Introduction</w:t>
      </w:r>
    </w:p>
    <w:p w:rsidR="00EB1C77" w:rsidRDefault="0088515B" w:rsidP="00EB1C77">
      <w:pPr>
        <w:autoSpaceDE w:val="0"/>
        <w:autoSpaceDN w:val="0"/>
        <w:adjustRightInd w:val="0"/>
        <w:spacing w:after="0" w:line="240" w:lineRule="auto"/>
        <w:rPr>
          <w:rFonts w:ascii="AdvGulliv-R" w:hAnsi="AdvGulliv-R" w:cs="AdvGulliv-R"/>
          <w:color w:val="000000"/>
          <w:sz w:val="16"/>
          <w:szCs w:val="16"/>
        </w:rPr>
      </w:pPr>
      <w:r>
        <w:rPr>
          <w:rFonts w:ascii="AdvGulliv-R" w:hAnsi="AdvGulliv-R" w:cs="AdvGulliv-R"/>
          <w:color w:val="000000"/>
          <w:sz w:val="16"/>
          <w:szCs w:val="16"/>
        </w:rPr>
        <w:t>A</w:t>
      </w:r>
      <w:r w:rsidR="00EB1C77">
        <w:rPr>
          <w:rFonts w:ascii="AdvGulliv-R" w:hAnsi="AdvGulliv-R" w:cs="AdvGulliv-R"/>
          <w:color w:val="000000"/>
          <w:sz w:val="16"/>
          <w:szCs w:val="16"/>
        </w:rPr>
        <w:t xml:space="preserve">nomalous anastomoses between the Median (MN) and Ulnar (UN) nerves in the upper extremity are well documented. The commonest anomalous innervation is </w:t>
      </w:r>
      <w:r>
        <w:rPr>
          <w:rFonts w:ascii="AdvGulliv-R" w:hAnsi="AdvGulliv-R" w:cs="AdvGulliv-R"/>
          <w:color w:val="000000"/>
          <w:sz w:val="16"/>
          <w:szCs w:val="16"/>
        </w:rPr>
        <w:t xml:space="preserve">Martin Gruber anastomosis (MGA), </w:t>
      </w:r>
      <w:r w:rsidR="00EB1C77">
        <w:rPr>
          <w:rFonts w:ascii="AdvGulliv-R" w:hAnsi="AdvGulliv-R" w:cs="AdvGulliv-R"/>
          <w:color w:val="000000"/>
          <w:sz w:val="16"/>
          <w:szCs w:val="16"/>
        </w:rPr>
        <w:t>described as the connecti</w:t>
      </w:r>
      <w:r>
        <w:rPr>
          <w:rFonts w:ascii="AdvGulliv-R" w:hAnsi="AdvGulliv-R" w:cs="AdvGulliv-R"/>
          <w:color w:val="000000"/>
          <w:sz w:val="16"/>
          <w:szCs w:val="16"/>
        </w:rPr>
        <w:t>on from MN to UN in the forearm</w:t>
      </w:r>
      <w:r w:rsidR="00EB1C77">
        <w:rPr>
          <w:rFonts w:ascii="AdvGulliv-R" w:hAnsi="AdvGulliv-R" w:cs="AdvGulliv-R"/>
          <w:color w:val="000000"/>
          <w:sz w:val="16"/>
          <w:szCs w:val="16"/>
        </w:rPr>
        <w:t xml:space="preserve">. </w:t>
      </w:r>
      <w:r w:rsidR="00B40F92">
        <w:rPr>
          <w:rFonts w:ascii="AdvGulliv-R" w:hAnsi="AdvGulliv-R" w:cs="AdvGulliv-R"/>
          <w:color w:val="000000"/>
          <w:sz w:val="16"/>
          <w:szCs w:val="16"/>
        </w:rPr>
        <w:t xml:space="preserve"> </w:t>
      </w:r>
      <w:r w:rsidR="00EB1C77">
        <w:rPr>
          <w:rFonts w:ascii="AdvGulliv-R" w:hAnsi="AdvGulliv-R" w:cs="AdvGulliv-R"/>
          <w:color w:val="000000"/>
          <w:sz w:val="16"/>
          <w:szCs w:val="16"/>
        </w:rPr>
        <w:t xml:space="preserve">Another anomalous connection </w:t>
      </w:r>
      <w:r w:rsidR="00B40F92">
        <w:rPr>
          <w:rFonts w:ascii="AdvGulliv-R" w:hAnsi="AdvGulliv-R" w:cs="AdvGulliv-R"/>
          <w:color w:val="000000"/>
          <w:sz w:val="16"/>
          <w:szCs w:val="16"/>
        </w:rPr>
        <w:t xml:space="preserve">is </w:t>
      </w:r>
      <w:r w:rsidR="00EB1C77">
        <w:rPr>
          <w:rFonts w:ascii="AdvGulliv-R" w:hAnsi="AdvGulliv-R" w:cs="AdvGulliv-R"/>
          <w:color w:val="000000"/>
          <w:sz w:val="16"/>
          <w:szCs w:val="16"/>
        </w:rPr>
        <w:t xml:space="preserve">from the UN to the MN in the hand </w:t>
      </w:r>
      <w:r w:rsidR="00B40F92">
        <w:rPr>
          <w:rFonts w:ascii="AdvGulliv-R" w:hAnsi="AdvGulliv-R" w:cs="AdvGulliv-R"/>
          <w:color w:val="000000"/>
          <w:sz w:val="16"/>
          <w:szCs w:val="16"/>
        </w:rPr>
        <w:t xml:space="preserve">and </w:t>
      </w:r>
      <w:r w:rsidR="00EB1C77">
        <w:rPr>
          <w:rFonts w:ascii="AdvGulliv-R" w:hAnsi="AdvGulliv-R" w:cs="AdvGulliv-R"/>
          <w:color w:val="000000"/>
          <w:sz w:val="16"/>
          <w:szCs w:val="16"/>
        </w:rPr>
        <w:t>is known as the Riche–</w:t>
      </w:r>
      <w:proofErr w:type="spellStart"/>
      <w:r w:rsidR="00EB1C77">
        <w:rPr>
          <w:rFonts w:ascii="AdvGulliv-R" w:hAnsi="AdvGulliv-R" w:cs="AdvGulliv-R"/>
          <w:color w:val="000000"/>
          <w:sz w:val="16"/>
          <w:szCs w:val="16"/>
        </w:rPr>
        <w:t>Cannieu</w:t>
      </w:r>
      <w:proofErr w:type="spellEnd"/>
      <w:r w:rsidR="00EB1C77">
        <w:rPr>
          <w:rFonts w:ascii="AdvGulliv-R" w:hAnsi="AdvGulliv-R" w:cs="AdvGulliv-R"/>
          <w:color w:val="000000"/>
          <w:sz w:val="16"/>
          <w:szCs w:val="16"/>
        </w:rPr>
        <w:t xml:space="preserve"> anastomosis (RCA). </w:t>
      </w:r>
      <w:r w:rsidR="00B40F92">
        <w:rPr>
          <w:rFonts w:ascii="AdvGulliv-R" w:hAnsi="AdvGulliv-R" w:cs="AdvGulliv-R"/>
          <w:color w:val="000000"/>
          <w:sz w:val="16"/>
          <w:szCs w:val="16"/>
        </w:rPr>
        <w:t>This anomaly</w:t>
      </w:r>
      <w:r w:rsidR="00EB1C77">
        <w:rPr>
          <w:rFonts w:ascii="AdvGulliv-R" w:hAnsi="AdvGulliv-R" w:cs="AdvGulliv-R"/>
          <w:color w:val="000000"/>
          <w:sz w:val="16"/>
          <w:szCs w:val="16"/>
        </w:rPr>
        <w:t xml:space="preserve"> was described in 1897 by Riche and </w:t>
      </w:r>
      <w:proofErr w:type="spellStart"/>
      <w:r w:rsidR="00EB1C77">
        <w:rPr>
          <w:rFonts w:ascii="AdvGulliv-R" w:hAnsi="AdvGulliv-R" w:cs="AdvGulliv-R"/>
          <w:color w:val="000000"/>
          <w:sz w:val="16"/>
          <w:szCs w:val="16"/>
        </w:rPr>
        <w:t>Cannieu</w:t>
      </w:r>
      <w:proofErr w:type="spellEnd"/>
      <w:r w:rsidR="00EB1C77">
        <w:rPr>
          <w:rFonts w:ascii="AdvGulliv-R" w:hAnsi="AdvGulliv-R" w:cs="AdvGulliv-R"/>
          <w:color w:val="000000"/>
          <w:sz w:val="16"/>
          <w:szCs w:val="16"/>
        </w:rPr>
        <w:t xml:space="preserve"> with the findings of a cross over in the palm, between the deep branch of the UN and the recurrent branch of the MN.</w:t>
      </w:r>
    </w:p>
    <w:p w:rsidR="00EB1C77" w:rsidRDefault="00EB1C77" w:rsidP="00EB1C77">
      <w:pPr>
        <w:autoSpaceDE w:val="0"/>
        <w:autoSpaceDN w:val="0"/>
        <w:adjustRightInd w:val="0"/>
        <w:spacing w:after="0" w:line="240" w:lineRule="auto"/>
        <w:rPr>
          <w:rFonts w:ascii="AdvGulliv-R" w:hAnsi="AdvGulliv-R" w:cs="AdvGulliv-R"/>
          <w:color w:val="000000"/>
          <w:sz w:val="16"/>
          <w:szCs w:val="16"/>
        </w:rPr>
      </w:pPr>
      <w:r>
        <w:rPr>
          <w:rFonts w:ascii="AdvGulliv-R" w:hAnsi="AdvGulliv-R" w:cs="AdvGulliv-R"/>
          <w:color w:val="000000"/>
          <w:sz w:val="16"/>
          <w:szCs w:val="16"/>
        </w:rPr>
        <w:t>The RCA is described in cadav</w:t>
      </w:r>
      <w:r w:rsidR="0088515B">
        <w:rPr>
          <w:rFonts w:ascii="AdvGulliv-R" w:hAnsi="AdvGulliv-R" w:cs="AdvGulliv-R"/>
          <w:color w:val="000000"/>
          <w:sz w:val="16"/>
          <w:szCs w:val="16"/>
        </w:rPr>
        <w:t>eric dissections with a</w:t>
      </w:r>
      <w:r>
        <w:rPr>
          <w:rFonts w:ascii="AdvGulliv-R" w:hAnsi="AdvGulliv-R" w:cs="AdvGulliv-R"/>
          <w:color w:val="000000"/>
          <w:sz w:val="16"/>
          <w:szCs w:val="16"/>
        </w:rPr>
        <w:t xml:space="preserve"> frequency </w:t>
      </w:r>
      <w:r w:rsidR="00B40F92">
        <w:rPr>
          <w:rFonts w:ascii="AdvGulliv-R" w:hAnsi="AdvGulliv-R" w:cs="AdvGulliv-R"/>
          <w:color w:val="000000"/>
          <w:sz w:val="16"/>
          <w:szCs w:val="16"/>
        </w:rPr>
        <w:t>that ranges from</w:t>
      </w:r>
      <w:r>
        <w:rPr>
          <w:rFonts w:ascii="AdvGulliv-R" w:hAnsi="AdvGulliv-R" w:cs="AdvGulliv-R"/>
          <w:color w:val="000000"/>
          <w:sz w:val="16"/>
          <w:szCs w:val="16"/>
        </w:rPr>
        <w:t xml:space="preserve"> 3.12</w:t>
      </w:r>
      <w:r w:rsidR="00B40F92">
        <w:rPr>
          <w:rFonts w:ascii="AdvGulliv-R" w:hAnsi="AdvGulliv-R" w:cs="AdvGulliv-R"/>
          <w:color w:val="000000"/>
          <w:sz w:val="16"/>
          <w:szCs w:val="16"/>
        </w:rPr>
        <w:t xml:space="preserve"> to </w:t>
      </w:r>
      <w:r>
        <w:rPr>
          <w:rFonts w:ascii="AdvGulliv-R" w:hAnsi="AdvGulliv-R" w:cs="AdvGulliv-R"/>
          <w:color w:val="000000"/>
          <w:sz w:val="16"/>
          <w:szCs w:val="16"/>
        </w:rPr>
        <w:t>77% (</w:t>
      </w:r>
      <w:r w:rsidRPr="00B40F92">
        <w:rPr>
          <w:rFonts w:ascii="AdvGulliv-R" w:hAnsi="AdvGulliv-R" w:cs="AdvGulliv-R"/>
          <w:sz w:val="16"/>
          <w:szCs w:val="16"/>
        </w:rPr>
        <w:t xml:space="preserve">Harness and </w:t>
      </w:r>
      <w:proofErr w:type="spellStart"/>
      <w:r w:rsidRPr="00B40F92">
        <w:rPr>
          <w:rFonts w:ascii="AdvGulliv-R" w:hAnsi="AdvGulliv-R" w:cs="AdvGulliv-R"/>
          <w:sz w:val="16"/>
          <w:szCs w:val="16"/>
        </w:rPr>
        <w:t>Sekeles</w:t>
      </w:r>
      <w:proofErr w:type="spellEnd"/>
      <w:r w:rsidRPr="00B40F92">
        <w:rPr>
          <w:rFonts w:ascii="AdvGulliv-R" w:hAnsi="AdvGulliv-R" w:cs="AdvGulliv-R"/>
          <w:sz w:val="16"/>
          <w:szCs w:val="16"/>
        </w:rPr>
        <w:t xml:space="preserve">, 1971; </w:t>
      </w:r>
      <w:proofErr w:type="spellStart"/>
      <w:r w:rsidRPr="00B40F92">
        <w:rPr>
          <w:rFonts w:ascii="AdvGulliv-R" w:hAnsi="AdvGulliv-R" w:cs="AdvGulliv-R"/>
          <w:sz w:val="16"/>
          <w:szCs w:val="16"/>
        </w:rPr>
        <w:t>Sarikcioglu</w:t>
      </w:r>
      <w:proofErr w:type="spellEnd"/>
      <w:r w:rsidR="00B40F92">
        <w:rPr>
          <w:rFonts w:ascii="AdvGulliv-R" w:hAnsi="AdvGulliv-R" w:cs="AdvGulliv-R"/>
          <w:sz w:val="16"/>
          <w:szCs w:val="16"/>
        </w:rPr>
        <w:t xml:space="preserve"> </w:t>
      </w:r>
      <w:r w:rsidRPr="00B40F92">
        <w:rPr>
          <w:rFonts w:ascii="AdvGulliv-R" w:hAnsi="AdvGulliv-R" w:cs="AdvGulliv-R"/>
          <w:sz w:val="16"/>
          <w:szCs w:val="16"/>
        </w:rPr>
        <w:t xml:space="preserve">and </w:t>
      </w:r>
      <w:proofErr w:type="spellStart"/>
      <w:r w:rsidRPr="00B40F92">
        <w:rPr>
          <w:rFonts w:ascii="AdvGulliv-R" w:hAnsi="AdvGulliv-R" w:cs="AdvGulliv-R"/>
          <w:sz w:val="16"/>
          <w:szCs w:val="16"/>
        </w:rPr>
        <w:t>Sindel</w:t>
      </w:r>
      <w:proofErr w:type="spellEnd"/>
      <w:r w:rsidRPr="00B40F92">
        <w:rPr>
          <w:rFonts w:ascii="AdvGulliv-R" w:hAnsi="AdvGulliv-R" w:cs="AdvGulliv-R"/>
          <w:sz w:val="16"/>
          <w:szCs w:val="16"/>
        </w:rPr>
        <w:t>, 2002)</w:t>
      </w:r>
      <w:r>
        <w:rPr>
          <w:rFonts w:ascii="AdvGulliv-R" w:hAnsi="AdvGulliv-R" w:cs="AdvGulliv-R"/>
          <w:color w:val="000000"/>
          <w:sz w:val="16"/>
          <w:szCs w:val="16"/>
        </w:rPr>
        <w:t xml:space="preserve">. Normally, all intrinsic hand muscles are innervated by the UN except the lumbricals I–II, </w:t>
      </w:r>
      <w:proofErr w:type="spellStart"/>
      <w:r>
        <w:rPr>
          <w:rFonts w:ascii="AdvGulliv-R" w:hAnsi="AdvGulliv-R" w:cs="AdvGulliv-R"/>
          <w:color w:val="000000"/>
          <w:sz w:val="16"/>
          <w:szCs w:val="16"/>
        </w:rPr>
        <w:t>opponens</w:t>
      </w:r>
      <w:proofErr w:type="spellEnd"/>
      <w:r>
        <w:rPr>
          <w:rFonts w:ascii="AdvGulliv-R" w:hAnsi="AdvGulliv-R" w:cs="AdvGulliv-R"/>
          <w:color w:val="000000"/>
          <w:sz w:val="16"/>
          <w:szCs w:val="16"/>
        </w:rPr>
        <w:t xml:space="preserve"> </w:t>
      </w:r>
      <w:proofErr w:type="spellStart"/>
      <w:r>
        <w:rPr>
          <w:rFonts w:ascii="AdvGulliv-R" w:hAnsi="AdvGulliv-R" w:cs="AdvGulliv-R"/>
          <w:color w:val="000000"/>
          <w:sz w:val="16"/>
          <w:szCs w:val="16"/>
        </w:rPr>
        <w:t>pollicis</w:t>
      </w:r>
      <w:proofErr w:type="spellEnd"/>
      <w:r>
        <w:rPr>
          <w:rFonts w:ascii="AdvGulliv-R" w:hAnsi="AdvGulliv-R" w:cs="AdvGulliv-R"/>
          <w:color w:val="000000"/>
          <w:sz w:val="16"/>
          <w:szCs w:val="16"/>
        </w:rPr>
        <w:t>,</w:t>
      </w:r>
    </w:p>
    <w:p w:rsidR="00EB1C77" w:rsidRPr="00B40F92" w:rsidRDefault="00EB1C77" w:rsidP="00EB1C77">
      <w:pPr>
        <w:autoSpaceDE w:val="0"/>
        <w:autoSpaceDN w:val="0"/>
        <w:adjustRightInd w:val="0"/>
        <w:spacing w:after="0" w:line="240" w:lineRule="auto"/>
        <w:rPr>
          <w:rFonts w:ascii="AdvGulliv-R" w:hAnsi="AdvGulliv-R" w:cs="AdvGulliv-R"/>
          <w:sz w:val="16"/>
          <w:szCs w:val="16"/>
        </w:rPr>
      </w:pPr>
      <w:r>
        <w:rPr>
          <w:rFonts w:ascii="AdvGulliv-R" w:hAnsi="AdvGulliv-R" w:cs="AdvGulliv-R"/>
          <w:color w:val="000000"/>
          <w:sz w:val="16"/>
          <w:szCs w:val="16"/>
        </w:rPr>
        <w:t xml:space="preserve">abductor </w:t>
      </w:r>
      <w:proofErr w:type="spellStart"/>
      <w:r>
        <w:rPr>
          <w:rFonts w:ascii="AdvGulliv-R" w:hAnsi="AdvGulliv-R" w:cs="AdvGulliv-R"/>
          <w:color w:val="000000"/>
          <w:sz w:val="16"/>
          <w:szCs w:val="16"/>
        </w:rPr>
        <w:t>pollicis</w:t>
      </w:r>
      <w:proofErr w:type="spellEnd"/>
      <w:r>
        <w:rPr>
          <w:rFonts w:ascii="AdvGulliv-R" w:hAnsi="AdvGulliv-R" w:cs="AdvGulliv-R"/>
          <w:color w:val="000000"/>
          <w:sz w:val="16"/>
          <w:szCs w:val="16"/>
        </w:rPr>
        <w:t xml:space="preserve"> brevis (APB), an</w:t>
      </w:r>
      <w:r w:rsidR="00B40F92">
        <w:rPr>
          <w:rFonts w:ascii="AdvGulliv-R" w:hAnsi="AdvGulliv-R" w:cs="AdvGulliv-R"/>
          <w:color w:val="000000"/>
          <w:sz w:val="16"/>
          <w:szCs w:val="16"/>
        </w:rPr>
        <w:t xml:space="preserve">d flexor </w:t>
      </w:r>
      <w:proofErr w:type="spellStart"/>
      <w:r w:rsidR="00B40F92">
        <w:rPr>
          <w:rFonts w:ascii="AdvGulliv-R" w:hAnsi="AdvGulliv-R" w:cs="AdvGulliv-R"/>
          <w:color w:val="000000"/>
          <w:sz w:val="16"/>
          <w:szCs w:val="16"/>
        </w:rPr>
        <w:t>pollicis</w:t>
      </w:r>
      <w:proofErr w:type="spellEnd"/>
      <w:r w:rsidR="00B40F92">
        <w:rPr>
          <w:rFonts w:ascii="AdvGulliv-R" w:hAnsi="AdvGulliv-R" w:cs="AdvGulliv-R"/>
          <w:color w:val="000000"/>
          <w:sz w:val="16"/>
          <w:szCs w:val="16"/>
        </w:rPr>
        <w:t xml:space="preserve"> brevis (LOAF)</w:t>
      </w:r>
      <w:r>
        <w:rPr>
          <w:rFonts w:ascii="AdvGulliv-R" w:hAnsi="AdvGulliv-R" w:cs="AdvGulliv-R"/>
          <w:color w:val="000000"/>
          <w:sz w:val="16"/>
          <w:szCs w:val="16"/>
        </w:rPr>
        <w:t xml:space="preserve"> muscles</w:t>
      </w:r>
      <w:r w:rsidR="00B40F92">
        <w:rPr>
          <w:rFonts w:ascii="AdvGulliv-R" w:hAnsi="AdvGulliv-R" w:cs="AdvGulliv-R"/>
          <w:color w:val="000000"/>
          <w:sz w:val="16"/>
          <w:szCs w:val="16"/>
        </w:rPr>
        <w:t xml:space="preserve">. In RCA, three patterns may be observed </w:t>
      </w:r>
      <w:r>
        <w:rPr>
          <w:rFonts w:ascii="AdvGulliv-R" w:hAnsi="AdvGulliv-R" w:cs="AdvGulliv-R"/>
          <w:color w:val="000000"/>
          <w:sz w:val="16"/>
          <w:szCs w:val="16"/>
        </w:rPr>
        <w:t>which include both sensory and all intrinsic hand muscles innervated exclusively by the ulnar nerve (referred to as the all</w:t>
      </w:r>
      <w:r w:rsidR="00B40F92">
        <w:rPr>
          <w:rFonts w:ascii="AdvGulliv-R" w:hAnsi="AdvGulliv-R" w:cs="AdvGulliv-R"/>
          <w:color w:val="000000"/>
          <w:sz w:val="16"/>
          <w:szCs w:val="16"/>
        </w:rPr>
        <w:t xml:space="preserve"> </w:t>
      </w:r>
      <w:r>
        <w:rPr>
          <w:rFonts w:ascii="AdvGulliv-R" w:hAnsi="AdvGulliv-R" w:cs="AdvGulliv-R"/>
          <w:color w:val="000000"/>
          <w:sz w:val="16"/>
          <w:szCs w:val="16"/>
        </w:rPr>
        <w:t>ulnar hand) or only complete hand motor innervation by the UN or lastly, some median innervated muscles supplied by the UN</w:t>
      </w:r>
      <w:r w:rsidR="00B40F92">
        <w:rPr>
          <w:rFonts w:ascii="AdvGulliv-R" w:hAnsi="AdvGulliv-R" w:cs="AdvGulliv-R"/>
          <w:color w:val="000000"/>
          <w:sz w:val="16"/>
          <w:szCs w:val="16"/>
        </w:rPr>
        <w:t xml:space="preserve"> </w:t>
      </w:r>
      <w:r w:rsidRPr="00B40F92">
        <w:rPr>
          <w:rFonts w:ascii="AdvGulliv-R" w:hAnsi="AdvGulliv-R" w:cs="AdvGulliv-R"/>
          <w:sz w:val="16"/>
          <w:szCs w:val="16"/>
        </w:rPr>
        <w:t>(Kim et al., 2004).</w:t>
      </w:r>
    </w:p>
    <w:p w:rsidR="00772DF3" w:rsidRDefault="00EB1C77" w:rsidP="00EB1C77">
      <w:pPr>
        <w:autoSpaceDE w:val="0"/>
        <w:autoSpaceDN w:val="0"/>
        <w:adjustRightInd w:val="0"/>
        <w:spacing w:after="0" w:line="240" w:lineRule="auto"/>
        <w:rPr>
          <w:rFonts w:ascii="AdvGulliv-R" w:hAnsi="AdvGulliv-R" w:cs="AdvGulliv-R"/>
          <w:color w:val="000000"/>
          <w:sz w:val="16"/>
          <w:szCs w:val="16"/>
        </w:rPr>
      </w:pPr>
      <w:r>
        <w:rPr>
          <w:rFonts w:ascii="AdvGulliv-R" w:hAnsi="AdvGulliv-R" w:cs="AdvGulliv-R"/>
          <w:color w:val="000000"/>
          <w:sz w:val="16"/>
          <w:szCs w:val="16"/>
        </w:rPr>
        <w:t xml:space="preserve">We present an interesting case of carpal tunnel syndrome in which there was delay in the median sensory latencies bilaterally on recording from digit II, delayed mixed nerve action potentials bilaterally. On testing the median motor nerves, the left median compound motor action potential (CMAP) </w:t>
      </w:r>
      <w:r w:rsidR="00B40F92">
        <w:rPr>
          <w:rFonts w:ascii="AdvGulliv-R" w:hAnsi="AdvGulliv-R" w:cs="AdvGulliv-R"/>
          <w:color w:val="000000"/>
          <w:sz w:val="16"/>
          <w:szCs w:val="16"/>
        </w:rPr>
        <w:t>was nonrecordable on st</w:t>
      </w:r>
      <w:r w:rsidR="0088515B">
        <w:rPr>
          <w:rFonts w:ascii="AdvGulliv-R" w:hAnsi="AdvGulliv-R" w:cs="AdvGulliv-R"/>
          <w:color w:val="000000"/>
          <w:sz w:val="16"/>
          <w:szCs w:val="16"/>
        </w:rPr>
        <w:t>imulating the left median nerve despite preserved left thenar strength and muscle bulk.  On</w:t>
      </w:r>
      <w:r w:rsidR="00B40F92">
        <w:rPr>
          <w:rFonts w:ascii="AdvGulliv-R" w:hAnsi="AdvGulliv-R" w:cs="AdvGulliv-R"/>
          <w:color w:val="000000"/>
          <w:sz w:val="16"/>
          <w:szCs w:val="16"/>
        </w:rPr>
        <w:t xml:space="preserve"> recording from the </w:t>
      </w:r>
      <w:r w:rsidR="0088515B">
        <w:rPr>
          <w:rFonts w:ascii="AdvGulliv-R" w:hAnsi="AdvGulliv-R" w:cs="AdvGulliv-R"/>
          <w:color w:val="000000"/>
          <w:sz w:val="16"/>
          <w:szCs w:val="16"/>
        </w:rPr>
        <w:t xml:space="preserve">left </w:t>
      </w:r>
      <w:r w:rsidR="00B40F92">
        <w:rPr>
          <w:rFonts w:ascii="AdvGulliv-R" w:hAnsi="AdvGulliv-R" w:cs="AdvGulliv-R"/>
          <w:color w:val="000000"/>
          <w:sz w:val="16"/>
          <w:szCs w:val="16"/>
        </w:rPr>
        <w:t xml:space="preserve">abductor </w:t>
      </w:r>
      <w:proofErr w:type="spellStart"/>
      <w:r w:rsidR="00B40F92">
        <w:rPr>
          <w:rFonts w:ascii="AdvGulliv-R" w:hAnsi="AdvGulliv-R" w:cs="AdvGulliv-R"/>
          <w:color w:val="000000"/>
          <w:sz w:val="16"/>
          <w:szCs w:val="16"/>
        </w:rPr>
        <w:t>pollicis</w:t>
      </w:r>
      <w:proofErr w:type="spellEnd"/>
      <w:r w:rsidR="0088515B">
        <w:rPr>
          <w:rFonts w:ascii="AdvGulliv-R" w:hAnsi="AdvGulliv-R" w:cs="AdvGulliv-R"/>
          <w:color w:val="000000"/>
          <w:sz w:val="16"/>
          <w:szCs w:val="16"/>
        </w:rPr>
        <w:t xml:space="preserve"> brevis (APB) while</w:t>
      </w:r>
      <w:r w:rsidR="00B40F92">
        <w:rPr>
          <w:rFonts w:ascii="AdvGulliv-R" w:hAnsi="AdvGulliv-R" w:cs="AdvGulliv-R"/>
          <w:color w:val="000000"/>
          <w:sz w:val="16"/>
          <w:szCs w:val="16"/>
        </w:rPr>
        <w:t xml:space="preserve"> stimulating the left uln</w:t>
      </w:r>
      <w:r w:rsidR="0088515B">
        <w:rPr>
          <w:rFonts w:ascii="AdvGulliv-R" w:hAnsi="AdvGulliv-R" w:cs="AdvGulliv-R"/>
          <w:color w:val="000000"/>
          <w:sz w:val="16"/>
          <w:szCs w:val="16"/>
        </w:rPr>
        <w:t>ar nerve the CMAP was normal</w:t>
      </w:r>
      <w:r w:rsidR="00B40F92">
        <w:rPr>
          <w:rFonts w:ascii="AdvGulliv-R" w:hAnsi="AdvGulliv-R" w:cs="AdvGulliv-R"/>
          <w:color w:val="000000"/>
          <w:sz w:val="16"/>
          <w:szCs w:val="16"/>
        </w:rPr>
        <w:t>. Carpal tunnel syndrome was present bilaterally,</w:t>
      </w:r>
      <w:r w:rsidR="00F13DE3">
        <w:rPr>
          <w:rFonts w:ascii="AdvGulliv-R" w:hAnsi="AdvGulliv-R" w:cs="AdvGulliv-R"/>
          <w:color w:val="000000"/>
          <w:sz w:val="16"/>
          <w:szCs w:val="16"/>
        </w:rPr>
        <w:t xml:space="preserve"> proven</w:t>
      </w:r>
      <w:r w:rsidR="00575C3B">
        <w:rPr>
          <w:rFonts w:ascii="AdvGulliv-R" w:hAnsi="AdvGulliv-R" w:cs="AdvGulliv-R"/>
          <w:color w:val="000000"/>
          <w:sz w:val="16"/>
          <w:szCs w:val="16"/>
        </w:rPr>
        <w:t xml:space="preserve"> on the left by the finding of </w:t>
      </w:r>
      <w:r w:rsidR="00F13DE3">
        <w:rPr>
          <w:rFonts w:ascii="AdvGulliv-R" w:hAnsi="AdvGulliv-R" w:cs="AdvGulliv-R"/>
          <w:color w:val="000000"/>
          <w:sz w:val="16"/>
          <w:szCs w:val="16"/>
        </w:rPr>
        <w:t>a del</w:t>
      </w:r>
      <w:r w:rsidR="00575C3B">
        <w:rPr>
          <w:rFonts w:ascii="AdvGulliv-R" w:hAnsi="AdvGulliv-R" w:cs="AdvGulliv-R"/>
          <w:color w:val="000000"/>
          <w:sz w:val="16"/>
          <w:szCs w:val="16"/>
        </w:rPr>
        <w:t>ayed</w:t>
      </w:r>
      <w:r w:rsidR="00F13DE3">
        <w:rPr>
          <w:rFonts w:ascii="AdvGulliv-R" w:hAnsi="AdvGulliv-R" w:cs="AdvGulliv-R"/>
          <w:color w:val="000000"/>
          <w:sz w:val="16"/>
          <w:szCs w:val="16"/>
        </w:rPr>
        <w:t xml:space="preserve"> left median mixed nerve action potential</w:t>
      </w:r>
      <w:r w:rsidR="0088515B">
        <w:rPr>
          <w:rFonts w:ascii="AdvGulliv-R" w:hAnsi="AdvGulliv-R" w:cs="AdvGulliv-R"/>
          <w:color w:val="000000"/>
          <w:sz w:val="16"/>
          <w:szCs w:val="16"/>
        </w:rPr>
        <w:t>, also a differential median delay on testing the left Median-Ulnar lumbrical-Interossei latency</w:t>
      </w:r>
      <w:r w:rsidR="00F13DE3">
        <w:rPr>
          <w:rFonts w:ascii="AdvGulliv-R" w:hAnsi="AdvGulliv-R" w:cs="AdvGulliv-R"/>
          <w:color w:val="000000"/>
          <w:sz w:val="16"/>
          <w:szCs w:val="16"/>
        </w:rPr>
        <w:t xml:space="preserve">. </w:t>
      </w:r>
      <w:r w:rsidR="0088515B">
        <w:rPr>
          <w:rFonts w:ascii="AdvGulliv-R" w:hAnsi="AdvGulliv-R" w:cs="AdvGulliv-R"/>
          <w:color w:val="000000"/>
          <w:sz w:val="16"/>
          <w:szCs w:val="16"/>
        </w:rPr>
        <w:t>The recognition of concomitant anomalies as Riche-</w:t>
      </w:r>
      <w:proofErr w:type="spellStart"/>
      <w:r w:rsidR="0088515B">
        <w:rPr>
          <w:rFonts w:ascii="AdvGulliv-R" w:hAnsi="AdvGulliv-R" w:cs="AdvGulliv-R"/>
          <w:color w:val="000000"/>
          <w:sz w:val="16"/>
          <w:szCs w:val="16"/>
        </w:rPr>
        <w:t>Cannieu</w:t>
      </w:r>
      <w:proofErr w:type="spellEnd"/>
      <w:r w:rsidR="0088515B">
        <w:rPr>
          <w:rFonts w:ascii="AdvGulliv-R" w:hAnsi="AdvGulliv-R" w:cs="AdvGulliv-R"/>
          <w:color w:val="000000"/>
          <w:sz w:val="16"/>
          <w:szCs w:val="16"/>
        </w:rPr>
        <w:t xml:space="preserve"> anastomosis affords a better characterization of the degree of carpal tunnel syndrome and avoids confusing electrophysiological interpretations. </w:t>
      </w:r>
    </w:p>
    <w:p w:rsidR="00EB1C77" w:rsidRDefault="00EB1C77" w:rsidP="00EB1C77">
      <w:pPr>
        <w:autoSpaceDE w:val="0"/>
        <w:autoSpaceDN w:val="0"/>
        <w:adjustRightInd w:val="0"/>
        <w:spacing w:after="0" w:line="240" w:lineRule="auto"/>
        <w:rPr>
          <w:rFonts w:ascii="AdvGulliv-R" w:hAnsi="AdvGulliv-R" w:cs="AdvGulliv-R"/>
          <w:color w:val="000000"/>
          <w:sz w:val="16"/>
          <w:szCs w:val="16"/>
        </w:rPr>
      </w:pPr>
    </w:p>
    <w:p w:rsidR="00EB1C77" w:rsidRPr="00B40F92" w:rsidRDefault="00EB1C77" w:rsidP="00EB1C77">
      <w:pPr>
        <w:autoSpaceDE w:val="0"/>
        <w:autoSpaceDN w:val="0"/>
        <w:adjustRightInd w:val="0"/>
        <w:spacing w:after="0" w:line="240" w:lineRule="auto"/>
        <w:rPr>
          <w:rFonts w:ascii="AdvGulliv-R" w:hAnsi="AdvGulliv-R" w:cs="AdvGulliv-R"/>
          <w:sz w:val="16"/>
          <w:szCs w:val="16"/>
        </w:rPr>
      </w:pPr>
    </w:p>
    <w:p w:rsidR="00EB1C77" w:rsidRPr="00B40F92" w:rsidRDefault="00EB1C77" w:rsidP="00EB1C77">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 xml:space="preserve">1-Cannieu, A., 1897. Note sur </w:t>
      </w:r>
      <w:proofErr w:type="spellStart"/>
      <w:r w:rsidRPr="00B40F92">
        <w:rPr>
          <w:rFonts w:ascii="AdvGulliv-R" w:hAnsi="AdvGulliv-R" w:cs="AdvGulliv-R"/>
          <w:sz w:val="13"/>
          <w:szCs w:val="13"/>
        </w:rPr>
        <w:t>une</w:t>
      </w:r>
      <w:proofErr w:type="spellEnd"/>
      <w:r w:rsidRPr="00B40F92">
        <w:rPr>
          <w:rFonts w:ascii="AdvGulliv-R" w:hAnsi="AdvGulliv-R" w:cs="AdvGulliv-R"/>
          <w:sz w:val="13"/>
          <w:szCs w:val="13"/>
        </w:rPr>
        <w:t xml:space="preserve"> anastomose entre le </w:t>
      </w:r>
      <w:proofErr w:type="spellStart"/>
      <w:r w:rsidRPr="00B40F92">
        <w:rPr>
          <w:rFonts w:ascii="AdvGulliv-R" w:hAnsi="AdvGulliv-R" w:cs="AdvGulliv-R"/>
          <w:sz w:val="13"/>
          <w:szCs w:val="13"/>
        </w:rPr>
        <w:t>branche</w:t>
      </w:r>
      <w:proofErr w:type="spellEnd"/>
      <w:r w:rsidRPr="00B40F92">
        <w:rPr>
          <w:rFonts w:ascii="AdvGulliv-R" w:hAnsi="AdvGulliv-R" w:cs="AdvGulliv-R"/>
          <w:sz w:val="13"/>
          <w:szCs w:val="13"/>
        </w:rPr>
        <w:t xml:space="preserve"> </w:t>
      </w:r>
      <w:proofErr w:type="spellStart"/>
      <w:r w:rsidRPr="00B40F92">
        <w:rPr>
          <w:rFonts w:ascii="AdvGulliv-R" w:hAnsi="AdvGulliv-R" w:cs="AdvGulliv-R"/>
          <w:sz w:val="13"/>
          <w:szCs w:val="13"/>
        </w:rPr>
        <w:t>profunde</w:t>
      </w:r>
      <w:proofErr w:type="spellEnd"/>
      <w:r w:rsidRPr="00B40F92">
        <w:rPr>
          <w:rFonts w:ascii="AdvGulliv-R" w:hAnsi="AdvGulliv-R" w:cs="AdvGulliv-R"/>
          <w:sz w:val="13"/>
          <w:szCs w:val="13"/>
        </w:rPr>
        <w:t xml:space="preserve"> de cubital et</w:t>
      </w:r>
    </w:p>
    <w:p w:rsidR="00EB1C77" w:rsidRPr="00B40F92" w:rsidRDefault="00EB1C77" w:rsidP="00EB1C77">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 xml:space="preserve">le median. Bull. </w:t>
      </w:r>
      <w:proofErr w:type="spellStart"/>
      <w:r w:rsidRPr="00B40F92">
        <w:rPr>
          <w:rFonts w:ascii="AdvGulliv-R" w:hAnsi="AdvGulliv-R" w:cs="AdvGulliv-R"/>
          <w:sz w:val="13"/>
          <w:szCs w:val="13"/>
        </w:rPr>
        <w:t>Soc</w:t>
      </w:r>
      <w:proofErr w:type="spellEnd"/>
      <w:r w:rsidRPr="00B40F92">
        <w:rPr>
          <w:rFonts w:ascii="AdvGulliv-R" w:hAnsi="AdvGulliv-R" w:cs="AdvGulliv-R"/>
          <w:sz w:val="13"/>
          <w:szCs w:val="13"/>
        </w:rPr>
        <w:t xml:space="preserve"> </w:t>
      </w:r>
      <w:proofErr w:type="spellStart"/>
      <w:r w:rsidRPr="00B40F92">
        <w:rPr>
          <w:rFonts w:ascii="AdvGulliv-R" w:hAnsi="AdvGulliv-R" w:cs="AdvGulliv-R"/>
          <w:sz w:val="13"/>
          <w:szCs w:val="13"/>
        </w:rPr>
        <w:t>d’Anat</w:t>
      </w:r>
      <w:proofErr w:type="spellEnd"/>
      <w:r w:rsidRPr="00B40F92">
        <w:rPr>
          <w:rFonts w:ascii="AdvGulliv-R" w:hAnsi="AdvGulliv-R" w:cs="AdvGulliv-R"/>
          <w:sz w:val="13"/>
          <w:szCs w:val="13"/>
        </w:rPr>
        <w:t xml:space="preserve"> </w:t>
      </w:r>
      <w:proofErr w:type="spellStart"/>
      <w:r w:rsidRPr="00B40F92">
        <w:rPr>
          <w:rFonts w:ascii="AdvGulliv-R" w:hAnsi="AdvGulliv-R" w:cs="AdvGulliv-R"/>
          <w:sz w:val="13"/>
          <w:szCs w:val="13"/>
        </w:rPr>
        <w:t>Pohysiol</w:t>
      </w:r>
      <w:proofErr w:type="spellEnd"/>
      <w:r w:rsidRPr="00B40F92">
        <w:rPr>
          <w:rFonts w:ascii="AdvGulliv-R" w:hAnsi="AdvGulliv-R" w:cs="AdvGulliv-R"/>
          <w:sz w:val="13"/>
          <w:szCs w:val="13"/>
        </w:rPr>
        <w:t>. Bordeaux 18, 339–340.</w:t>
      </w:r>
    </w:p>
    <w:p w:rsidR="00EB1C77" w:rsidRPr="00B40F92" w:rsidRDefault="00EB1C77" w:rsidP="00EB1C77">
      <w:pPr>
        <w:autoSpaceDE w:val="0"/>
        <w:autoSpaceDN w:val="0"/>
        <w:adjustRightInd w:val="0"/>
        <w:spacing w:after="0" w:line="240" w:lineRule="auto"/>
        <w:rPr>
          <w:rFonts w:ascii="AdvGulliv-R" w:hAnsi="AdvGulliv-R" w:cs="AdvGulliv-R"/>
          <w:sz w:val="13"/>
          <w:szCs w:val="13"/>
        </w:rPr>
      </w:pPr>
    </w:p>
    <w:p w:rsidR="00EB1C77" w:rsidRPr="00B40F92" w:rsidRDefault="00EB1C77" w:rsidP="00EB1C77">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 xml:space="preserve">2-Riche, P., 1897. Le nerf cubital et les muscles de </w:t>
      </w:r>
      <w:proofErr w:type="spellStart"/>
      <w:r w:rsidRPr="00B40F92">
        <w:rPr>
          <w:rFonts w:ascii="AdvGulliv-R" w:hAnsi="AdvGulliv-R" w:cs="AdvGulliv-R"/>
          <w:sz w:val="13"/>
          <w:szCs w:val="13"/>
        </w:rPr>
        <w:t>l’eminence</w:t>
      </w:r>
      <w:proofErr w:type="spellEnd"/>
      <w:r w:rsidRPr="00B40F92">
        <w:rPr>
          <w:rFonts w:ascii="AdvGulliv-R" w:hAnsi="AdvGulliv-R" w:cs="AdvGulliv-R"/>
          <w:sz w:val="13"/>
          <w:szCs w:val="13"/>
        </w:rPr>
        <w:t xml:space="preserve"> thenar. Bull. Mem. Soc.</w:t>
      </w:r>
    </w:p>
    <w:p w:rsidR="00EB1C77" w:rsidRPr="00B40F92" w:rsidRDefault="00EB1C77" w:rsidP="00EB1C77">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Anat. Paris 5, 251–252.</w:t>
      </w:r>
    </w:p>
    <w:p w:rsidR="00EB1C77" w:rsidRPr="00B40F92" w:rsidRDefault="00EB1C77" w:rsidP="00EB1C77">
      <w:pPr>
        <w:autoSpaceDE w:val="0"/>
        <w:autoSpaceDN w:val="0"/>
        <w:adjustRightInd w:val="0"/>
        <w:spacing w:after="0" w:line="240" w:lineRule="auto"/>
        <w:rPr>
          <w:rFonts w:ascii="AdvGulliv-R" w:hAnsi="AdvGulliv-R" w:cs="AdvGulliv-R"/>
          <w:sz w:val="13"/>
          <w:szCs w:val="13"/>
        </w:rPr>
      </w:pPr>
    </w:p>
    <w:p w:rsidR="00EB1C77" w:rsidRPr="00B40F92" w:rsidRDefault="00EB1C77" w:rsidP="00EB1C77">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 xml:space="preserve">3-Harness, D., </w:t>
      </w:r>
      <w:proofErr w:type="spellStart"/>
      <w:r w:rsidRPr="00B40F92">
        <w:rPr>
          <w:rFonts w:ascii="AdvGulliv-R" w:hAnsi="AdvGulliv-R" w:cs="AdvGulliv-R"/>
          <w:sz w:val="13"/>
          <w:szCs w:val="13"/>
        </w:rPr>
        <w:t>Sekeles</w:t>
      </w:r>
      <w:proofErr w:type="spellEnd"/>
      <w:r w:rsidRPr="00B40F92">
        <w:rPr>
          <w:rFonts w:ascii="AdvGulliv-R" w:hAnsi="AdvGulliv-R" w:cs="AdvGulliv-R"/>
          <w:sz w:val="13"/>
          <w:szCs w:val="13"/>
        </w:rPr>
        <w:t>, E., 1971. The double anastomotic innervation of thenar</w:t>
      </w:r>
    </w:p>
    <w:p w:rsidR="00EB1C77" w:rsidRPr="00B40F92" w:rsidRDefault="00EB1C77" w:rsidP="00EB1C77">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muscles. J. Anat. 109, 461–466.</w:t>
      </w:r>
    </w:p>
    <w:p w:rsidR="00B40F92" w:rsidRPr="00B40F92" w:rsidRDefault="00B40F92" w:rsidP="00EB1C77">
      <w:pPr>
        <w:autoSpaceDE w:val="0"/>
        <w:autoSpaceDN w:val="0"/>
        <w:adjustRightInd w:val="0"/>
        <w:spacing w:after="0" w:line="240" w:lineRule="auto"/>
        <w:rPr>
          <w:rFonts w:ascii="AdvGulliv-R" w:hAnsi="AdvGulliv-R" w:cs="AdvGulliv-R"/>
          <w:sz w:val="13"/>
          <w:szCs w:val="13"/>
        </w:rPr>
      </w:pPr>
    </w:p>
    <w:p w:rsidR="00B40F92" w:rsidRPr="00B40F92" w:rsidRDefault="00B40F92" w:rsidP="00B40F92">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4-Kim, B.-J., Date, E.S., Lee, S.-H., Lau, E.W., Park, M.K., 2004. Unilateral all ulnar hand</w:t>
      </w:r>
    </w:p>
    <w:p w:rsidR="00B40F92" w:rsidRPr="00B40F92" w:rsidRDefault="00B40F92" w:rsidP="00B40F92">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including sensory without forearm communication. Am. J. Phys. Med. Rehab. 83</w:t>
      </w:r>
    </w:p>
    <w:p w:rsidR="00B40F92" w:rsidRDefault="00B40F92" w:rsidP="00B40F92">
      <w:pPr>
        <w:autoSpaceDE w:val="0"/>
        <w:autoSpaceDN w:val="0"/>
        <w:adjustRightInd w:val="0"/>
        <w:spacing w:after="0" w:line="240" w:lineRule="auto"/>
        <w:rPr>
          <w:rFonts w:ascii="AdvGulliv-R" w:hAnsi="AdvGulliv-R" w:cs="AdvGulliv-R"/>
          <w:sz w:val="13"/>
          <w:szCs w:val="13"/>
        </w:rPr>
      </w:pPr>
      <w:r w:rsidRPr="00B40F92">
        <w:rPr>
          <w:rFonts w:ascii="AdvGulliv-R" w:hAnsi="AdvGulliv-R" w:cs="AdvGulliv-R"/>
          <w:sz w:val="13"/>
          <w:szCs w:val="13"/>
        </w:rPr>
        <w:t>(7), 569–573.</w:t>
      </w:r>
    </w:p>
    <w:p w:rsidR="002756DA" w:rsidRPr="00B40F92" w:rsidRDefault="002756DA" w:rsidP="00B40F92">
      <w:pPr>
        <w:autoSpaceDE w:val="0"/>
        <w:autoSpaceDN w:val="0"/>
        <w:adjustRightInd w:val="0"/>
        <w:spacing w:after="0" w:line="240" w:lineRule="auto"/>
      </w:pPr>
      <w:r w:rsidRPr="002756DA">
        <w:rPr>
          <w:noProof/>
        </w:rPr>
        <w:drawing>
          <wp:inline distT="0" distB="0" distL="0" distR="0">
            <wp:extent cx="5943600" cy="4075260"/>
            <wp:effectExtent l="0" t="0" r="0" b="1905"/>
            <wp:docPr id="1" name="Picture 1" descr="\\v09.med.va.gov\MEM\Users\VHAMEMWAHBAM\Desktop\RicheCanni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9.med.va.gov\MEM\Users\VHAMEMWAHBAM\Desktop\RicheCannieu.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075260"/>
                    </a:xfrm>
                    <a:prstGeom prst="rect">
                      <a:avLst/>
                    </a:prstGeom>
                    <a:noFill/>
                    <a:ln>
                      <a:noFill/>
                    </a:ln>
                  </pic:spPr>
                </pic:pic>
              </a:graphicData>
            </a:graphic>
          </wp:inline>
        </w:drawing>
      </w:r>
      <w:bookmarkStart w:id="0" w:name="_GoBack"/>
      <w:bookmarkEnd w:id="0"/>
    </w:p>
    <w:sectPr w:rsidR="002756DA" w:rsidRPr="00B40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Gulliv-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C77"/>
    <w:rsid w:val="002756DA"/>
    <w:rsid w:val="00575C3B"/>
    <w:rsid w:val="00772DF3"/>
    <w:rsid w:val="0088515B"/>
    <w:rsid w:val="009B3CB9"/>
    <w:rsid w:val="00B40F92"/>
    <w:rsid w:val="00B50647"/>
    <w:rsid w:val="00EB1C77"/>
    <w:rsid w:val="00F1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12929"/>
  <w15:chartTrackingRefBased/>
  <w15:docId w15:val="{A61D66F1-03A2-4FE0-9E36-3FBEE7F0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Wahba, Mervat N.</dc:creator>
  <cp:keywords/>
  <dc:description/>
  <cp:lastModifiedBy>Wahba, Mervat N.</cp:lastModifiedBy>
  <cp:revision>2</cp:revision>
  <dcterms:created xsi:type="dcterms:W3CDTF">2018-08-28T22:27:00Z</dcterms:created>
  <dcterms:modified xsi:type="dcterms:W3CDTF">2018-08-28T22:27:00Z</dcterms:modified>
</cp:coreProperties>
</file>