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5F4D" w:rsidRPr="008F5F4D" w:rsidRDefault="008F5F4D" w:rsidP="008F5F4D">
      <w:pPr>
        <w:pStyle w:val="Standard"/>
        <w:autoSpaceDE w:val="0"/>
        <w:jc w:val="center"/>
        <w:rPr>
          <w:rFonts w:hint="eastAsia"/>
          <w:color w:val="000000"/>
          <w:sz w:val="20"/>
          <w:szCs w:val="20"/>
          <w:lang w:val="en-US"/>
        </w:rPr>
      </w:pPr>
    </w:p>
    <w:p w:rsidR="00BC5C3B" w:rsidRDefault="008F5F4D" w:rsidP="008F5F4D">
      <w:pPr>
        <w:pStyle w:val="Standard"/>
        <w:autoSpaceDE w:val="0"/>
        <w:jc w:val="center"/>
        <w:rPr>
          <w:color w:val="000000"/>
          <w:sz w:val="20"/>
          <w:szCs w:val="20"/>
          <w:lang w:val="en-US"/>
        </w:rPr>
      </w:pPr>
      <w:r w:rsidRPr="008F5F4D">
        <w:rPr>
          <w:rFonts w:hint="eastAsia"/>
          <w:color w:val="000000"/>
          <w:sz w:val="20"/>
          <w:szCs w:val="20"/>
          <w:lang w:val="en-US"/>
        </w:rPr>
        <w:t>MRI of the brain, limb muscles, and mitochondrial disorders in myotonic dystrophy</w:t>
      </w:r>
    </w:p>
    <w:p w:rsidR="00B4099F" w:rsidRPr="004949AF" w:rsidRDefault="00B4099F" w:rsidP="008F5F4D">
      <w:pPr>
        <w:pStyle w:val="Standard"/>
        <w:autoSpaceDE w:val="0"/>
        <w:jc w:val="center"/>
        <w:rPr>
          <w:color w:val="000000"/>
          <w:sz w:val="20"/>
          <w:szCs w:val="20"/>
          <w:vertAlign w:val="superscript"/>
          <w:lang w:val="en-US"/>
        </w:rPr>
      </w:pPr>
      <w:bookmarkStart w:id="0" w:name="_GoBack"/>
      <w:bookmarkEnd w:id="0"/>
      <w:proofErr w:type="spellStart"/>
      <w:r w:rsidRPr="00F36028">
        <w:rPr>
          <w:color w:val="000000"/>
          <w:sz w:val="20"/>
          <w:szCs w:val="20"/>
          <w:lang w:val="en-US"/>
        </w:rPr>
        <w:t>Bunak</w:t>
      </w:r>
      <w:proofErr w:type="spellEnd"/>
      <w:r w:rsidR="00510C13" w:rsidRPr="00F36028">
        <w:rPr>
          <w:color w:val="000000"/>
          <w:sz w:val="20"/>
          <w:szCs w:val="20"/>
          <w:lang w:val="en-US"/>
        </w:rPr>
        <w:t xml:space="preserve"> M.S.</w:t>
      </w:r>
      <w:r w:rsidR="004949AF" w:rsidRPr="004949AF">
        <w:rPr>
          <w:color w:val="000000"/>
          <w:sz w:val="20"/>
          <w:szCs w:val="20"/>
          <w:vertAlign w:val="superscript"/>
          <w:lang w:val="en-US"/>
        </w:rPr>
        <w:t>1</w:t>
      </w:r>
      <w:r w:rsidRPr="00F36028">
        <w:rPr>
          <w:color w:val="000000"/>
          <w:sz w:val="20"/>
          <w:szCs w:val="20"/>
          <w:lang w:val="en-US"/>
        </w:rPr>
        <w:t xml:space="preserve">, </w:t>
      </w:r>
      <w:proofErr w:type="spellStart"/>
      <w:r w:rsidR="00510C13" w:rsidRPr="00F36028">
        <w:rPr>
          <w:color w:val="000000"/>
          <w:sz w:val="20"/>
          <w:szCs w:val="20"/>
          <w:lang w:val="en-US"/>
        </w:rPr>
        <w:t>Kotov</w:t>
      </w:r>
      <w:proofErr w:type="spellEnd"/>
      <w:r w:rsidR="00510C13" w:rsidRPr="00F36028">
        <w:rPr>
          <w:color w:val="000000"/>
          <w:sz w:val="20"/>
          <w:szCs w:val="20"/>
          <w:lang w:val="en-US"/>
        </w:rPr>
        <w:t xml:space="preserve"> </w:t>
      </w:r>
      <w:proofErr w:type="gramStart"/>
      <w:r w:rsidR="00510C13" w:rsidRPr="00F36028">
        <w:rPr>
          <w:color w:val="000000"/>
          <w:sz w:val="20"/>
          <w:szCs w:val="20"/>
          <w:lang w:val="en-US"/>
        </w:rPr>
        <w:t>S.</w:t>
      </w:r>
      <w:r w:rsidRPr="00F36028">
        <w:rPr>
          <w:color w:val="000000"/>
          <w:sz w:val="20"/>
          <w:szCs w:val="20"/>
          <w:lang w:val="en-US"/>
        </w:rPr>
        <w:t>V</w:t>
      </w:r>
      <w:r w:rsidR="004949AF" w:rsidRPr="004949AF">
        <w:rPr>
          <w:rFonts w:hint="eastAsia"/>
          <w:color w:val="000000"/>
          <w:sz w:val="20"/>
          <w:szCs w:val="20"/>
          <w:lang w:val="en-US"/>
        </w:rPr>
        <w:t>.</w:t>
      </w:r>
      <w:r w:rsidR="004949AF" w:rsidRPr="004949AF">
        <w:rPr>
          <w:color w:val="000000"/>
          <w:sz w:val="20"/>
          <w:szCs w:val="20"/>
          <w:vertAlign w:val="superscript"/>
          <w:lang w:val="en-US"/>
        </w:rPr>
        <w:t>1</w:t>
      </w:r>
      <w:r w:rsidR="004949AF" w:rsidRPr="004949AF">
        <w:rPr>
          <w:rFonts w:hint="eastAsia"/>
          <w:lang w:val="en-US"/>
        </w:rPr>
        <w:t xml:space="preserve"> </w:t>
      </w:r>
      <w:r w:rsidR="00510C13" w:rsidRPr="00F36028">
        <w:rPr>
          <w:color w:val="000000"/>
          <w:sz w:val="20"/>
          <w:szCs w:val="20"/>
          <w:lang w:val="en-US"/>
        </w:rPr>
        <w:t>,</w:t>
      </w:r>
      <w:proofErr w:type="gramEnd"/>
      <w:r w:rsidR="00510C13" w:rsidRPr="00F36028">
        <w:rPr>
          <w:color w:val="000000"/>
          <w:sz w:val="20"/>
          <w:szCs w:val="20"/>
          <w:lang w:val="en-US"/>
        </w:rPr>
        <w:t xml:space="preserve"> </w:t>
      </w:r>
      <w:r w:rsidRPr="00F36028">
        <w:rPr>
          <w:color w:val="000000"/>
          <w:sz w:val="20"/>
          <w:szCs w:val="20"/>
          <w:lang w:val="en-US"/>
        </w:rPr>
        <w:t xml:space="preserve"> </w:t>
      </w:r>
      <w:proofErr w:type="spellStart"/>
      <w:r w:rsidRPr="00F36028">
        <w:rPr>
          <w:color w:val="000000"/>
          <w:sz w:val="20"/>
          <w:szCs w:val="20"/>
          <w:lang w:val="en-US"/>
        </w:rPr>
        <w:t>Borodataya</w:t>
      </w:r>
      <w:proofErr w:type="spellEnd"/>
      <w:r w:rsidR="00510C13" w:rsidRPr="00F36028">
        <w:rPr>
          <w:color w:val="000000"/>
          <w:sz w:val="20"/>
          <w:szCs w:val="20"/>
          <w:lang w:val="en-US"/>
        </w:rPr>
        <w:t xml:space="preserve"> E.V.</w:t>
      </w:r>
      <w:r w:rsidR="004949AF" w:rsidRPr="004949AF">
        <w:rPr>
          <w:color w:val="000000"/>
          <w:sz w:val="20"/>
          <w:szCs w:val="20"/>
          <w:vertAlign w:val="superscript"/>
          <w:lang w:val="en-US"/>
        </w:rPr>
        <w:t>1</w:t>
      </w:r>
      <w:r w:rsidR="00510C13" w:rsidRPr="00F36028">
        <w:rPr>
          <w:color w:val="000000"/>
          <w:sz w:val="20"/>
          <w:szCs w:val="20"/>
          <w:lang w:val="en-US"/>
        </w:rPr>
        <w:t xml:space="preserve"> </w:t>
      </w:r>
      <w:r w:rsidRPr="00F36028">
        <w:rPr>
          <w:color w:val="000000"/>
          <w:sz w:val="20"/>
          <w:szCs w:val="20"/>
          <w:lang w:val="en-US"/>
        </w:rPr>
        <w:t>,</w:t>
      </w:r>
      <w:r w:rsidR="00510C13" w:rsidRPr="00F36028">
        <w:rPr>
          <w:color w:val="000000"/>
          <w:sz w:val="20"/>
          <w:szCs w:val="20"/>
          <w:lang w:val="en-US"/>
        </w:rPr>
        <w:t xml:space="preserve"> </w:t>
      </w:r>
      <w:proofErr w:type="spellStart"/>
      <w:r w:rsidRPr="00F36028">
        <w:rPr>
          <w:color w:val="000000"/>
          <w:sz w:val="20"/>
          <w:szCs w:val="20"/>
          <w:lang w:val="en-US"/>
        </w:rPr>
        <w:t>Sidorova</w:t>
      </w:r>
      <w:proofErr w:type="spellEnd"/>
      <w:r w:rsidR="00510C13" w:rsidRPr="00F36028">
        <w:rPr>
          <w:color w:val="000000"/>
          <w:sz w:val="20"/>
          <w:szCs w:val="20"/>
          <w:lang w:val="en-US"/>
        </w:rPr>
        <w:t xml:space="preserve"> O.P</w:t>
      </w:r>
      <w:r w:rsidR="004949AF" w:rsidRPr="004949AF">
        <w:rPr>
          <w:color w:val="000000"/>
          <w:sz w:val="20"/>
          <w:szCs w:val="20"/>
          <w:lang w:val="en-US"/>
        </w:rPr>
        <w:t>.</w:t>
      </w:r>
      <w:r w:rsidR="004949AF" w:rsidRPr="004949AF">
        <w:rPr>
          <w:color w:val="000000"/>
          <w:sz w:val="20"/>
          <w:szCs w:val="20"/>
          <w:vertAlign w:val="superscript"/>
          <w:lang w:val="en-US"/>
        </w:rPr>
        <w:t>1</w:t>
      </w:r>
      <w:r w:rsidR="004949AF" w:rsidRPr="004949AF">
        <w:rPr>
          <w:color w:val="000000"/>
          <w:sz w:val="20"/>
          <w:szCs w:val="20"/>
          <w:lang w:val="en-US"/>
        </w:rPr>
        <w:t xml:space="preserve">, </w:t>
      </w:r>
      <w:r w:rsidR="004949AF">
        <w:rPr>
          <w:color w:val="000000"/>
          <w:sz w:val="20"/>
          <w:szCs w:val="20"/>
          <w:lang w:val="en-US"/>
        </w:rPr>
        <w:t>Borodin A.V.</w:t>
      </w:r>
      <w:r w:rsidR="004949AF">
        <w:rPr>
          <w:color w:val="000000"/>
          <w:sz w:val="20"/>
          <w:szCs w:val="20"/>
          <w:vertAlign w:val="superscript"/>
          <w:lang w:val="en-US"/>
        </w:rPr>
        <w:t>1</w:t>
      </w:r>
      <w:r w:rsidR="004949AF">
        <w:rPr>
          <w:color w:val="000000"/>
          <w:sz w:val="20"/>
          <w:szCs w:val="20"/>
          <w:lang w:val="en-US"/>
        </w:rPr>
        <w:t xml:space="preserve">, </w:t>
      </w:r>
      <w:r w:rsidR="004949AF" w:rsidRPr="004949AF">
        <w:rPr>
          <w:rFonts w:hint="eastAsia"/>
          <w:color w:val="000000"/>
          <w:sz w:val="20"/>
          <w:szCs w:val="20"/>
          <w:lang w:val="en-US"/>
        </w:rPr>
        <w:t>Polyakov</w:t>
      </w:r>
      <w:r w:rsidR="004949AF" w:rsidRPr="004949AF">
        <w:rPr>
          <w:color w:val="000000"/>
          <w:sz w:val="20"/>
          <w:szCs w:val="20"/>
          <w:lang w:val="en-US"/>
        </w:rPr>
        <w:t xml:space="preserve"> </w:t>
      </w:r>
      <w:r w:rsidR="004949AF">
        <w:rPr>
          <w:color w:val="000000"/>
          <w:sz w:val="20"/>
          <w:szCs w:val="20"/>
          <w:lang w:val="en-US"/>
        </w:rPr>
        <w:t>A.V.</w:t>
      </w:r>
      <w:r w:rsidR="004949AF" w:rsidRPr="004949AF">
        <w:rPr>
          <w:color w:val="000000"/>
          <w:sz w:val="20"/>
          <w:szCs w:val="20"/>
          <w:vertAlign w:val="superscript"/>
          <w:lang w:val="en-US"/>
        </w:rPr>
        <w:t xml:space="preserve"> 2</w:t>
      </w:r>
    </w:p>
    <w:p w:rsidR="004949AF" w:rsidRPr="004949AF" w:rsidRDefault="00510C13" w:rsidP="004949AF">
      <w:pPr>
        <w:pStyle w:val="HTML"/>
        <w:numPr>
          <w:ilvl w:val="0"/>
          <w:numId w:val="3"/>
        </w:numPr>
        <w:shd w:val="clear" w:color="auto" w:fill="FFFFFF"/>
        <w:jc w:val="center"/>
        <w:rPr>
          <w:rFonts w:ascii="Times New Roman" w:hAnsi="Times New Roman" w:cs="Times New Roman"/>
          <w:spacing w:val="4"/>
          <w:lang w:val="en-US"/>
        </w:rPr>
      </w:pPr>
      <w:r w:rsidRPr="00F36028">
        <w:rPr>
          <w:rFonts w:ascii="Times New Roman" w:hAnsi="Times New Roman" w:cs="Times New Roman"/>
          <w:color w:val="212121"/>
          <w:lang w:val="en-US"/>
        </w:rPr>
        <w:t xml:space="preserve">GBUZ MO " Moscow Regional Research Clinical </w:t>
      </w:r>
      <w:proofErr w:type="gramStart"/>
      <w:r w:rsidRPr="00F36028">
        <w:rPr>
          <w:rFonts w:ascii="Times New Roman" w:hAnsi="Times New Roman" w:cs="Times New Roman"/>
          <w:color w:val="212121"/>
          <w:lang w:val="en-US"/>
        </w:rPr>
        <w:t>Institute  by</w:t>
      </w:r>
      <w:proofErr w:type="gramEnd"/>
      <w:r w:rsidRPr="00F36028">
        <w:rPr>
          <w:rFonts w:ascii="Times New Roman" w:hAnsi="Times New Roman" w:cs="Times New Roman"/>
          <w:color w:val="212121"/>
          <w:lang w:val="en-US"/>
        </w:rPr>
        <w:t xml:space="preserve"> M.F. Vladimirskiy ", </w:t>
      </w:r>
    </w:p>
    <w:p w:rsidR="00510C13" w:rsidRPr="00F36028" w:rsidRDefault="004949AF" w:rsidP="004949AF">
      <w:pPr>
        <w:pStyle w:val="HTML"/>
        <w:shd w:val="clear" w:color="auto" w:fill="FFFFFF"/>
        <w:ind w:left="720"/>
        <w:rPr>
          <w:rFonts w:ascii="Times New Roman" w:hAnsi="Times New Roman" w:cs="Times New Roman"/>
          <w:spacing w:val="4"/>
          <w:lang w:val="en-US"/>
        </w:rPr>
      </w:pPr>
      <w:r>
        <w:rPr>
          <w:rFonts w:ascii="Times New Roman" w:hAnsi="Times New Roman" w:cs="Times New Roman"/>
          <w:color w:val="212121"/>
          <w:lang w:val="en-US"/>
        </w:rPr>
        <w:t>2-</w:t>
      </w:r>
      <w:r w:rsidRPr="004949AF">
        <w:rPr>
          <w:rFonts w:ascii="Times New Roman" w:hAnsi="Times New Roman" w:cs="Times New Roman" w:hint="eastAsia"/>
          <w:color w:val="212121"/>
          <w:lang w:val="en-US"/>
        </w:rPr>
        <w:t>Medical Genetics Research Center</w:t>
      </w:r>
      <w:r w:rsidRPr="004949AF">
        <w:rPr>
          <w:rFonts w:ascii="Times New Roman" w:hAnsi="Times New Roman" w:cs="Times New Roman"/>
          <w:color w:val="212121"/>
          <w:lang w:val="en-US"/>
        </w:rPr>
        <w:t xml:space="preserve">, </w:t>
      </w:r>
      <w:r w:rsidR="00510C13" w:rsidRPr="00F36028">
        <w:rPr>
          <w:rFonts w:ascii="Times New Roman" w:hAnsi="Times New Roman" w:cs="Times New Roman"/>
          <w:color w:val="212121"/>
          <w:lang w:val="en-US"/>
        </w:rPr>
        <w:t>Moscow, Russia</w:t>
      </w:r>
    </w:p>
    <w:p w:rsidR="004949AF" w:rsidRDefault="00510C13" w:rsidP="00F36028">
      <w:pPr>
        <w:pStyle w:val="Standard"/>
        <w:autoSpaceDE w:val="0"/>
        <w:jc w:val="both"/>
        <w:rPr>
          <w:color w:val="000000"/>
          <w:sz w:val="20"/>
          <w:szCs w:val="20"/>
          <w:lang w:val="en-US"/>
        </w:rPr>
      </w:pPr>
      <w:r w:rsidRPr="00654429">
        <w:rPr>
          <w:b/>
          <w:color w:val="212121"/>
          <w:sz w:val="20"/>
          <w:szCs w:val="20"/>
          <w:lang w:val="en-US"/>
        </w:rPr>
        <w:t>Objective:</w:t>
      </w:r>
      <w:r w:rsidRPr="00F36028">
        <w:rPr>
          <w:color w:val="212121"/>
          <w:sz w:val="20"/>
          <w:szCs w:val="20"/>
          <w:lang w:val="en-US"/>
        </w:rPr>
        <w:t xml:space="preserve"> </w:t>
      </w:r>
      <w:r w:rsidR="004949AF">
        <w:rPr>
          <w:color w:val="212121"/>
          <w:sz w:val="20"/>
          <w:szCs w:val="20"/>
          <w:lang w:val="en-US"/>
        </w:rPr>
        <w:t>t</w:t>
      </w:r>
      <w:r w:rsidR="004949AF" w:rsidRPr="004949AF">
        <w:rPr>
          <w:rFonts w:hint="eastAsia"/>
          <w:color w:val="000000"/>
          <w:sz w:val="20"/>
          <w:szCs w:val="20"/>
          <w:lang w:val="en-US"/>
        </w:rPr>
        <w:t>o study changes in the brain and muscles, mitochondrial disorders in patients with myotonic dystrophy.</w:t>
      </w:r>
    </w:p>
    <w:p w:rsidR="00483E36" w:rsidRPr="00F36028" w:rsidRDefault="00510C13" w:rsidP="004949AF">
      <w:pPr>
        <w:pStyle w:val="Standard"/>
        <w:autoSpaceDE w:val="0"/>
        <w:jc w:val="both"/>
        <w:rPr>
          <w:color w:val="000000"/>
          <w:sz w:val="20"/>
          <w:szCs w:val="20"/>
          <w:lang w:val="en-US"/>
        </w:rPr>
      </w:pPr>
      <w:r w:rsidRPr="00D93307">
        <w:rPr>
          <w:b/>
          <w:color w:val="212121"/>
          <w:sz w:val="20"/>
          <w:szCs w:val="20"/>
          <w:lang w:val="en-US"/>
        </w:rPr>
        <w:t>Material and Methods:</w:t>
      </w:r>
      <w:r w:rsidR="004949AF" w:rsidRPr="004949AF">
        <w:rPr>
          <w:rFonts w:hint="eastAsia"/>
          <w:lang w:val="en-US"/>
        </w:rPr>
        <w:t xml:space="preserve"> </w:t>
      </w:r>
      <w:r w:rsidR="00654429" w:rsidRPr="00654429">
        <w:rPr>
          <w:rFonts w:hint="eastAsia"/>
          <w:color w:val="212121"/>
          <w:sz w:val="20"/>
          <w:szCs w:val="20"/>
          <w:lang w:val="en-US"/>
        </w:rPr>
        <w:t xml:space="preserve">12 patients with myotonic dystrophy were examined. Of these, 1 was diagnosed with type 2 and the remaining 1 type of the disease. The diagnosis is confirmed by DNA </w:t>
      </w:r>
      <w:proofErr w:type="spellStart"/>
      <w:r w:rsidR="00654429" w:rsidRPr="00654429">
        <w:rPr>
          <w:rFonts w:hint="eastAsia"/>
          <w:color w:val="212121"/>
          <w:sz w:val="20"/>
          <w:szCs w:val="20"/>
          <w:lang w:val="en-US"/>
        </w:rPr>
        <w:t>diagnostics.</w:t>
      </w:r>
      <w:r w:rsidR="004949AF" w:rsidRPr="004949AF">
        <w:rPr>
          <w:rFonts w:hint="eastAsia"/>
          <w:color w:val="212121"/>
          <w:sz w:val="20"/>
          <w:szCs w:val="20"/>
          <w:lang w:val="en-US"/>
        </w:rPr>
        <w:t>MRI</w:t>
      </w:r>
      <w:proofErr w:type="spellEnd"/>
      <w:r w:rsidR="004949AF" w:rsidRPr="004949AF">
        <w:rPr>
          <w:rFonts w:hint="eastAsia"/>
          <w:color w:val="212121"/>
          <w:sz w:val="20"/>
          <w:szCs w:val="20"/>
          <w:lang w:val="en-US"/>
        </w:rPr>
        <w:t xml:space="preserve"> of the brain was performed.</w:t>
      </w:r>
      <w:r w:rsidR="004949AF" w:rsidRPr="004949AF">
        <w:rPr>
          <w:color w:val="212121"/>
          <w:sz w:val="20"/>
          <w:szCs w:val="20"/>
          <w:lang w:val="en-US"/>
        </w:rPr>
        <w:t xml:space="preserve"> </w:t>
      </w:r>
      <w:r w:rsidR="00483E36" w:rsidRPr="00F36028">
        <w:rPr>
          <w:color w:val="000000"/>
          <w:sz w:val="20"/>
          <w:szCs w:val="20"/>
          <w:lang w:val="en-US"/>
        </w:rPr>
        <w:t xml:space="preserve">The MRI of lower </w:t>
      </w:r>
      <w:r w:rsidR="004949AF">
        <w:rPr>
          <w:color w:val="000000"/>
          <w:sz w:val="20"/>
          <w:szCs w:val="20"/>
          <w:lang w:val="en-US"/>
        </w:rPr>
        <w:t xml:space="preserve">and </w:t>
      </w:r>
      <w:r w:rsidR="004949AF" w:rsidRPr="004949AF">
        <w:rPr>
          <w:rFonts w:hint="eastAsia"/>
          <w:color w:val="000000"/>
          <w:sz w:val="20"/>
          <w:szCs w:val="20"/>
          <w:lang w:val="en-US"/>
        </w:rPr>
        <w:t>upper</w:t>
      </w:r>
      <w:r w:rsidR="004949AF">
        <w:rPr>
          <w:color w:val="000000"/>
          <w:sz w:val="20"/>
          <w:szCs w:val="20"/>
          <w:lang w:val="en-US"/>
        </w:rPr>
        <w:t xml:space="preserve"> </w:t>
      </w:r>
      <w:r w:rsidR="00483E36" w:rsidRPr="00F36028">
        <w:rPr>
          <w:color w:val="000000"/>
          <w:sz w:val="20"/>
          <w:szCs w:val="20"/>
          <w:lang w:val="en-US"/>
        </w:rPr>
        <w:t xml:space="preserve">limb muscles was done on the scanner built around a 1.5 Tesla (T) magnet (Optima MR450w, GE Healthcare) using a T1- and T2-weighted images. For the muscle damage quantification by using MRI a qualitative muscle grading scale, developed by </w:t>
      </w:r>
      <w:proofErr w:type="spellStart"/>
      <w:r w:rsidR="00483E36" w:rsidRPr="00F36028">
        <w:rPr>
          <w:color w:val="000000"/>
          <w:sz w:val="20"/>
          <w:szCs w:val="20"/>
          <w:lang w:val="en-US"/>
        </w:rPr>
        <w:t>Mercuri</w:t>
      </w:r>
      <w:proofErr w:type="spellEnd"/>
      <w:r w:rsidR="00483E36" w:rsidRPr="00F36028">
        <w:rPr>
          <w:color w:val="000000"/>
          <w:sz w:val="20"/>
          <w:szCs w:val="20"/>
          <w:lang w:val="en-US"/>
        </w:rPr>
        <w:t xml:space="preserve"> et al. (2002) is used. Muscle atrophy grade evaluated during MRI can be divided according to the following criteria:</w:t>
      </w:r>
    </w:p>
    <w:p w:rsidR="00483E36" w:rsidRPr="00F36028" w:rsidRDefault="00483E36" w:rsidP="00F36028">
      <w:pPr>
        <w:pStyle w:val="Standard"/>
        <w:autoSpaceDE w:val="0"/>
        <w:jc w:val="both"/>
        <w:rPr>
          <w:color w:val="000000"/>
          <w:sz w:val="20"/>
          <w:szCs w:val="20"/>
          <w:lang w:val="en-US"/>
        </w:rPr>
      </w:pPr>
      <w:r w:rsidRPr="00F36028">
        <w:rPr>
          <w:color w:val="000000"/>
          <w:sz w:val="20"/>
          <w:szCs w:val="20"/>
          <w:lang w:val="en-US"/>
        </w:rPr>
        <w:tab/>
        <w:t>Grade 1 – Early moth-eaten appearance with scattered small areas of increased signal;</w:t>
      </w:r>
    </w:p>
    <w:p w:rsidR="00483E36" w:rsidRPr="00F36028" w:rsidRDefault="00483E36" w:rsidP="00F36028">
      <w:pPr>
        <w:pStyle w:val="Standard"/>
        <w:autoSpaceDE w:val="0"/>
        <w:jc w:val="both"/>
        <w:rPr>
          <w:color w:val="000000"/>
          <w:sz w:val="20"/>
          <w:szCs w:val="20"/>
          <w:lang w:val="en-US"/>
        </w:rPr>
      </w:pPr>
      <w:r w:rsidRPr="00F36028">
        <w:rPr>
          <w:color w:val="000000"/>
          <w:sz w:val="20"/>
          <w:szCs w:val="20"/>
          <w:lang w:val="en-US"/>
        </w:rPr>
        <w:tab/>
        <w:t>Grade 2a – Late moth-eaten appearance with numerous discrete areas of increased signal with beginning confluence, comprising less than 30% of the volume of the individual muscle;</w:t>
      </w:r>
    </w:p>
    <w:p w:rsidR="00483E36" w:rsidRPr="00F36028" w:rsidRDefault="00483E36" w:rsidP="00F36028">
      <w:pPr>
        <w:pStyle w:val="Standard"/>
        <w:autoSpaceDE w:val="0"/>
        <w:jc w:val="both"/>
        <w:rPr>
          <w:color w:val="000000"/>
          <w:sz w:val="20"/>
          <w:szCs w:val="20"/>
          <w:lang w:val="en-US"/>
        </w:rPr>
      </w:pPr>
      <w:r w:rsidRPr="00F36028">
        <w:rPr>
          <w:color w:val="000000"/>
          <w:sz w:val="20"/>
          <w:szCs w:val="20"/>
          <w:lang w:val="en-US"/>
        </w:rPr>
        <w:t>Grade 2b – Late moth-eaten appearance with numerous discrete areas of increased signal with beginning confluence, comprising 30–60% of the volume of the individual muscle;</w:t>
      </w:r>
    </w:p>
    <w:p w:rsidR="00483E36" w:rsidRPr="00F36028" w:rsidRDefault="00483E36" w:rsidP="00F36028">
      <w:pPr>
        <w:pStyle w:val="Standard"/>
        <w:autoSpaceDE w:val="0"/>
        <w:jc w:val="both"/>
        <w:rPr>
          <w:color w:val="000000"/>
          <w:sz w:val="20"/>
          <w:szCs w:val="20"/>
          <w:lang w:val="en-US"/>
        </w:rPr>
      </w:pPr>
      <w:r w:rsidRPr="00F36028">
        <w:rPr>
          <w:color w:val="000000"/>
          <w:sz w:val="20"/>
          <w:szCs w:val="20"/>
          <w:lang w:val="en-US"/>
        </w:rPr>
        <w:t>Grade 3 – Washed-out appearance, fuzzy appearance due to confluent areas of increased signal;</w:t>
      </w:r>
    </w:p>
    <w:p w:rsidR="00483E36" w:rsidRPr="00F36028" w:rsidRDefault="00483E36" w:rsidP="00F36028">
      <w:pPr>
        <w:pStyle w:val="Standard"/>
        <w:autoSpaceDE w:val="0"/>
        <w:jc w:val="both"/>
        <w:rPr>
          <w:color w:val="000000"/>
          <w:sz w:val="20"/>
          <w:szCs w:val="20"/>
          <w:lang w:val="en-US"/>
        </w:rPr>
      </w:pPr>
      <w:r w:rsidRPr="00F36028">
        <w:rPr>
          <w:color w:val="000000"/>
          <w:sz w:val="20"/>
          <w:szCs w:val="20"/>
          <w:lang w:val="en-US"/>
        </w:rPr>
        <w:t>Grade 4 – End stage appearance, muscle replaced by increased density of connective tissue and fat, with only a rim of fascia and neurovascular tissue distinguishable.</w:t>
      </w:r>
    </w:p>
    <w:p w:rsidR="004949AF" w:rsidRDefault="008E7CEB" w:rsidP="00F36028">
      <w:pPr>
        <w:pStyle w:val="Standard"/>
        <w:autoSpaceDE w:val="0"/>
        <w:jc w:val="both"/>
        <w:rPr>
          <w:color w:val="000000"/>
          <w:sz w:val="20"/>
          <w:szCs w:val="20"/>
          <w:lang w:val="en-US"/>
        </w:rPr>
      </w:pPr>
      <w:r w:rsidRPr="00F36028">
        <w:rPr>
          <w:color w:val="212121"/>
          <w:sz w:val="20"/>
          <w:szCs w:val="20"/>
          <w:lang w:val="en-US"/>
        </w:rPr>
        <w:t xml:space="preserve">For a quantitative cytochemical study of the activity of mitochondrial enzymes in peripheral blood lymphocytes, the method proposed by A.G.E. Pearse in the modification of P.P. </w:t>
      </w:r>
      <w:proofErr w:type="spellStart"/>
      <w:r w:rsidRPr="00F36028">
        <w:rPr>
          <w:color w:val="212121"/>
          <w:sz w:val="20"/>
          <w:szCs w:val="20"/>
          <w:lang w:val="en-US"/>
        </w:rPr>
        <w:t>Narcissov</w:t>
      </w:r>
      <w:proofErr w:type="spellEnd"/>
      <w:r w:rsidRPr="00F36028">
        <w:rPr>
          <w:color w:val="212121"/>
          <w:sz w:val="20"/>
          <w:szCs w:val="20"/>
          <w:lang w:val="en-US"/>
        </w:rPr>
        <w:t xml:space="preserve">. </w:t>
      </w:r>
      <w:r w:rsidR="00483E36" w:rsidRPr="00F36028">
        <w:rPr>
          <w:color w:val="000000"/>
          <w:sz w:val="20"/>
          <w:szCs w:val="20"/>
          <w:lang w:val="en-US"/>
        </w:rPr>
        <w:t xml:space="preserve">The activity of four mitochondrial enzymes being involved in carbohydrate (lactate dehydrogenase, </w:t>
      </w:r>
      <w:r w:rsidR="00483E36" w:rsidRPr="00F36028">
        <w:rPr>
          <w:i/>
          <w:color w:val="000000"/>
          <w:sz w:val="20"/>
          <w:szCs w:val="20"/>
          <w:lang w:val="en-US"/>
        </w:rPr>
        <w:t>LDH</w:t>
      </w:r>
      <w:r w:rsidR="00483E36" w:rsidRPr="00F36028">
        <w:rPr>
          <w:color w:val="000000"/>
          <w:sz w:val="20"/>
          <w:szCs w:val="20"/>
          <w:lang w:val="en-US"/>
        </w:rPr>
        <w:t xml:space="preserve">), amino acid (glutamate dehydrogenase, </w:t>
      </w:r>
      <w:r w:rsidR="00483E36" w:rsidRPr="00F36028">
        <w:rPr>
          <w:i/>
          <w:color w:val="000000"/>
          <w:sz w:val="20"/>
          <w:szCs w:val="20"/>
          <w:lang w:val="en-US"/>
        </w:rPr>
        <w:t>GLDH</w:t>
      </w:r>
      <w:r w:rsidR="00483E36" w:rsidRPr="00F36028">
        <w:rPr>
          <w:color w:val="000000"/>
          <w:sz w:val="20"/>
          <w:szCs w:val="20"/>
          <w:lang w:val="en-US"/>
        </w:rPr>
        <w:t xml:space="preserve">), and fat (α-glycerophosphate dehydrogenase, </w:t>
      </w:r>
      <w:r w:rsidR="00483E36" w:rsidRPr="00F36028">
        <w:rPr>
          <w:i/>
          <w:color w:val="000000"/>
          <w:sz w:val="20"/>
          <w:szCs w:val="20"/>
          <w:lang w:val="en-US"/>
        </w:rPr>
        <w:t>α-GPDH</w:t>
      </w:r>
      <w:r w:rsidR="00483E36" w:rsidRPr="00F36028">
        <w:rPr>
          <w:color w:val="000000"/>
          <w:sz w:val="20"/>
          <w:szCs w:val="20"/>
          <w:lang w:val="en-US"/>
        </w:rPr>
        <w:t xml:space="preserve">) metabolism, as well as the enzyme of complex II of mitochondrial respiratory chain (succinate dehydrogenase, </w:t>
      </w:r>
      <w:r w:rsidR="00483E36" w:rsidRPr="00F36028">
        <w:rPr>
          <w:i/>
          <w:color w:val="000000"/>
          <w:sz w:val="20"/>
          <w:szCs w:val="20"/>
          <w:lang w:val="en-US"/>
        </w:rPr>
        <w:t>SDH</w:t>
      </w:r>
      <w:r w:rsidR="00483E36" w:rsidRPr="00F36028">
        <w:rPr>
          <w:color w:val="000000"/>
          <w:sz w:val="20"/>
          <w:szCs w:val="20"/>
          <w:lang w:val="en-US"/>
        </w:rPr>
        <w:t>) were evaluated.</w:t>
      </w:r>
      <w:r w:rsidR="00F36028">
        <w:rPr>
          <w:color w:val="000000"/>
          <w:sz w:val="20"/>
          <w:szCs w:val="20"/>
          <w:lang w:val="en-US"/>
        </w:rPr>
        <w:t xml:space="preserve"> </w:t>
      </w:r>
      <w:r w:rsidR="00483E36" w:rsidRPr="00F36028">
        <w:rPr>
          <w:color w:val="000000"/>
          <w:sz w:val="20"/>
          <w:szCs w:val="20"/>
          <w:lang w:val="en-US"/>
        </w:rPr>
        <w:t>We also measured blood lactate level before and after a carbohydrate loading.</w:t>
      </w:r>
      <w:r w:rsidR="00F36028">
        <w:rPr>
          <w:color w:val="000000"/>
          <w:sz w:val="20"/>
          <w:szCs w:val="20"/>
          <w:lang w:val="en-US"/>
        </w:rPr>
        <w:t xml:space="preserve"> </w:t>
      </w:r>
    </w:p>
    <w:p w:rsidR="00654429" w:rsidRPr="00654429" w:rsidRDefault="00510C13" w:rsidP="00654429">
      <w:pPr>
        <w:pStyle w:val="Standard"/>
        <w:autoSpaceDE w:val="0"/>
        <w:jc w:val="both"/>
        <w:rPr>
          <w:rFonts w:hint="eastAsia"/>
          <w:color w:val="000000"/>
          <w:sz w:val="20"/>
          <w:szCs w:val="20"/>
          <w:lang w:val="en-US"/>
        </w:rPr>
      </w:pPr>
      <w:r w:rsidRPr="00654429">
        <w:rPr>
          <w:b/>
          <w:color w:val="212121"/>
          <w:sz w:val="20"/>
          <w:szCs w:val="20"/>
          <w:lang w:val="en-US"/>
        </w:rPr>
        <w:t xml:space="preserve">Results: </w:t>
      </w:r>
      <w:r w:rsidR="00654429" w:rsidRPr="00654429">
        <w:rPr>
          <w:rFonts w:hint="eastAsia"/>
          <w:color w:val="000000"/>
          <w:sz w:val="20"/>
          <w:szCs w:val="20"/>
          <w:lang w:val="en-US"/>
        </w:rPr>
        <w:t>MRI of the limb muscles was performed in 6 patients with myotonic dystrophy. In all patients, the medial head of the gastrocnemius muscle was affected. From 2 to 4 points. In 5 out of 6 patients, the soleus muscles were involved in the pathological process. In 4 patients, a lesion of the intermediate broad thigh muscle, the medial broad thigh muscle, the anterior tibial muscle, the long extensor of the thumb, the long extensor of the toes of the foot, the long fibular muscle, the short calf muscle, and the lateral head of the gastrocnemius muscle were noted.</w:t>
      </w:r>
      <w:r w:rsidR="00654429" w:rsidRPr="00654429">
        <w:rPr>
          <w:rFonts w:hint="eastAsia"/>
          <w:lang w:val="en-US"/>
        </w:rPr>
        <w:t xml:space="preserve"> </w:t>
      </w:r>
      <w:r w:rsidR="00654429" w:rsidRPr="00654429">
        <w:rPr>
          <w:rFonts w:hint="eastAsia"/>
          <w:color w:val="000000"/>
          <w:sz w:val="20"/>
          <w:szCs w:val="20"/>
          <w:lang w:val="en-US"/>
        </w:rPr>
        <w:t>MRI of the brain was investigated in 5 patients. In 4 patients revealed the presence of subcortical foci in the white matter of the brain.</w:t>
      </w:r>
    </w:p>
    <w:p w:rsidR="00654429" w:rsidRPr="00654429" w:rsidRDefault="00654429" w:rsidP="00654429">
      <w:pPr>
        <w:pStyle w:val="Standard"/>
        <w:autoSpaceDE w:val="0"/>
        <w:jc w:val="both"/>
        <w:rPr>
          <w:color w:val="000000"/>
          <w:sz w:val="20"/>
          <w:szCs w:val="20"/>
          <w:lang w:val="en-US"/>
        </w:rPr>
      </w:pPr>
      <w:r w:rsidRPr="00654429">
        <w:rPr>
          <w:color w:val="000000"/>
          <w:sz w:val="20"/>
          <w:szCs w:val="20"/>
          <w:lang w:val="en-US"/>
        </w:rPr>
        <w:t xml:space="preserve">The mean values ​​of the activity of mitochondrial enzymes LDH, </w:t>
      </w:r>
      <w:r w:rsidRPr="00654429">
        <w:rPr>
          <w:rFonts w:hint="eastAsia"/>
          <w:color w:val="000000"/>
          <w:sz w:val="20"/>
          <w:szCs w:val="20"/>
          <w:lang w:val="en-US"/>
        </w:rPr>
        <w:t>α</w:t>
      </w:r>
      <w:r w:rsidRPr="00654429">
        <w:rPr>
          <w:color w:val="000000"/>
          <w:sz w:val="20"/>
          <w:szCs w:val="20"/>
          <w:lang w:val="en-US"/>
        </w:rPr>
        <w:t xml:space="preserve">-GPDH, GDH and LDH were statistically significantly reduced (p &lt;0.05). The decrease in the activity of mitochondrial enzymes LDH and </w:t>
      </w:r>
      <w:r w:rsidRPr="00654429">
        <w:rPr>
          <w:rFonts w:hint="eastAsia"/>
          <w:color w:val="000000"/>
          <w:sz w:val="20"/>
          <w:szCs w:val="20"/>
          <w:lang w:val="en-US"/>
        </w:rPr>
        <w:t>α</w:t>
      </w:r>
      <w:r w:rsidRPr="00654429">
        <w:rPr>
          <w:color w:val="000000"/>
          <w:sz w:val="20"/>
          <w:szCs w:val="20"/>
          <w:lang w:val="en-US"/>
        </w:rPr>
        <w:t>-GPDH was in all the examined patients. The activity of these enzymes was within the limits of normal values ​​in one patient, and LDH - in 7.</w:t>
      </w:r>
    </w:p>
    <w:p w:rsidR="00654429" w:rsidRDefault="00654429" w:rsidP="00654429">
      <w:pPr>
        <w:pStyle w:val="Standard"/>
        <w:autoSpaceDE w:val="0"/>
        <w:jc w:val="both"/>
        <w:rPr>
          <w:color w:val="000000"/>
          <w:sz w:val="20"/>
          <w:szCs w:val="20"/>
          <w:lang w:val="en-US"/>
        </w:rPr>
      </w:pPr>
      <w:r w:rsidRPr="00654429">
        <w:rPr>
          <w:color w:val="000000"/>
          <w:sz w:val="20"/>
          <w:szCs w:val="20"/>
          <w:lang w:val="en-US"/>
        </w:rPr>
        <w:t>Blood lactate before and after meals exceeded normal values ​</w:t>
      </w:r>
      <w:proofErr w:type="gramStart"/>
      <w:r w:rsidRPr="00654429">
        <w:rPr>
          <w:color w:val="000000"/>
          <w:sz w:val="20"/>
          <w:szCs w:val="20"/>
          <w:lang w:val="en-US"/>
        </w:rPr>
        <w:t>​(</w:t>
      </w:r>
      <w:proofErr w:type="gramEnd"/>
      <w:r w:rsidRPr="00654429">
        <w:rPr>
          <w:color w:val="000000"/>
          <w:sz w:val="20"/>
          <w:szCs w:val="20"/>
          <w:lang w:val="en-US"/>
        </w:rPr>
        <w:t>2.2 mmol / l). The median indicator of blood lactate before the meal was 2.8, after the meal - 3.2. The difference is not statistically significant.</w:t>
      </w:r>
    </w:p>
    <w:p w:rsidR="00B4099F" w:rsidRPr="00F36028" w:rsidRDefault="00510C13" w:rsidP="00654429">
      <w:pPr>
        <w:pStyle w:val="Standard"/>
        <w:autoSpaceDE w:val="0"/>
        <w:jc w:val="both"/>
        <w:rPr>
          <w:b/>
          <w:color w:val="000000"/>
          <w:sz w:val="20"/>
          <w:lang w:val="en-US"/>
        </w:rPr>
      </w:pPr>
      <w:r w:rsidRPr="00654429">
        <w:rPr>
          <w:b/>
          <w:color w:val="212121"/>
          <w:sz w:val="20"/>
          <w:lang w:val="en-US"/>
        </w:rPr>
        <w:t>Conclusions:</w:t>
      </w:r>
      <w:r w:rsidRPr="00F36028">
        <w:rPr>
          <w:color w:val="212121"/>
          <w:sz w:val="20"/>
          <w:lang w:val="en-US"/>
        </w:rPr>
        <w:t xml:space="preserve"> </w:t>
      </w:r>
      <w:r w:rsidR="00654429">
        <w:rPr>
          <w:b/>
          <w:color w:val="212121"/>
          <w:sz w:val="20"/>
          <w:lang w:val="en-US"/>
        </w:rPr>
        <w:t>t</w:t>
      </w:r>
      <w:r w:rsidR="00654429" w:rsidRPr="00654429">
        <w:rPr>
          <w:rFonts w:hint="eastAsia"/>
          <w:color w:val="000000"/>
          <w:sz w:val="20"/>
          <w:lang w:val="en-US"/>
        </w:rPr>
        <w:t>hus, in patients with myotonic dystrophy, not only damage to the muscles of the extremities was revealed, but also damage to the white matter of the brain, probably due to pronounced mitochondrial disorders in these patients. The revealed changes are indications for the appointment of energy-tropic therapy - carnitine and carnosine preparations.</w:t>
      </w:r>
    </w:p>
    <w:sectPr w:rsidR="00B4099F" w:rsidRPr="00F36028">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C2200"/>
    <w:multiLevelType w:val="multilevel"/>
    <w:tmpl w:val="1968F39C"/>
    <w:styleLink w:val="WW8Num1"/>
    <w:lvl w:ilvl="0">
      <w:numFmt w:val="bullet"/>
      <w:lvlText w:val="*"/>
      <w:lvlJc w:val="left"/>
      <w:rPr>
        <w:rFonts w:ascii="Liberation Serif" w:hAnsi="Liberation Serif"/>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155A62F4"/>
    <w:multiLevelType w:val="hybridMultilevel"/>
    <w:tmpl w:val="A9B6577C"/>
    <w:lvl w:ilvl="0" w:tplc="7850EFF2">
      <w:start w:val="1"/>
      <w:numFmt w:val="decimal"/>
      <w:lvlText w:val="%1-"/>
      <w:lvlJc w:val="left"/>
      <w:pPr>
        <w:ind w:left="720" w:hanging="360"/>
      </w:pPr>
      <w:rPr>
        <w:rFonts w:hint="default"/>
        <w:color w:val="2121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6DF1B04"/>
    <w:multiLevelType w:val="multilevel"/>
    <w:tmpl w:val="4D843C34"/>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99F"/>
    <w:rsid w:val="00024928"/>
    <w:rsid w:val="00422DA5"/>
    <w:rsid w:val="00483E36"/>
    <w:rsid w:val="004949AF"/>
    <w:rsid w:val="004F67A3"/>
    <w:rsid w:val="00510C13"/>
    <w:rsid w:val="005801B7"/>
    <w:rsid w:val="00654429"/>
    <w:rsid w:val="008E7CEB"/>
    <w:rsid w:val="008F5F4D"/>
    <w:rsid w:val="00B4099F"/>
    <w:rsid w:val="00BC5C3B"/>
    <w:rsid w:val="00D02549"/>
    <w:rsid w:val="00D93307"/>
    <w:rsid w:val="00DB0D45"/>
    <w:rsid w:val="00F36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FB7F1"/>
  <w15:docId w15:val="{310A6C99-4E88-4120-9894-347655CE7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099F"/>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B4099F"/>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Heading">
    <w:name w:val="Heading"/>
    <w:basedOn w:val="Standard"/>
    <w:next w:val="Textbody"/>
    <w:rsid w:val="00B4099F"/>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B4099F"/>
    <w:pPr>
      <w:spacing w:after="140" w:line="288" w:lineRule="auto"/>
    </w:pPr>
  </w:style>
  <w:style w:type="paragraph" w:styleId="a3">
    <w:name w:val="List"/>
    <w:basedOn w:val="Textbody"/>
    <w:rsid w:val="00B4099F"/>
    <w:rPr>
      <w:rFonts w:cs="Mangal"/>
    </w:rPr>
  </w:style>
  <w:style w:type="paragraph" w:styleId="a4">
    <w:name w:val="caption"/>
    <w:basedOn w:val="Standard"/>
    <w:rsid w:val="00B4099F"/>
    <w:pPr>
      <w:suppressLineNumbers/>
      <w:spacing w:before="120" w:after="120"/>
    </w:pPr>
    <w:rPr>
      <w:rFonts w:cs="Mangal"/>
      <w:i/>
      <w:iCs/>
    </w:rPr>
  </w:style>
  <w:style w:type="paragraph" w:customStyle="1" w:styleId="Index">
    <w:name w:val="Index"/>
    <w:basedOn w:val="Standard"/>
    <w:rsid w:val="00B4099F"/>
    <w:pPr>
      <w:suppressLineNumbers/>
    </w:pPr>
    <w:rPr>
      <w:rFonts w:cs="Mangal"/>
    </w:rPr>
  </w:style>
  <w:style w:type="paragraph" w:customStyle="1" w:styleId="TableContents">
    <w:name w:val="Table Contents"/>
    <w:basedOn w:val="Standard"/>
    <w:rsid w:val="00B4099F"/>
    <w:pPr>
      <w:suppressLineNumbers/>
    </w:pPr>
  </w:style>
  <w:style w:type="paragraph" w:customStyle="1" w:styleId="TableHeading">
    <w:name w:val="Table Heading"/>
    <w:basedOn w:val="TableContents"/>
    <w:rsid w:val="00B4099F"/>
    <w:pPr>
      <w:jc w:val="center"/>
    </w:pPr>
    <w:rPr>
      <w:b/>
      <w:bCs/>
    </w:rPr>
  </w:style>
  <w:style w:type="character" w:customStyle="1" w:styleId="WW8Num1z0">
    <w:name w:val="WW8Num1z0"/>
    <w:rsid w:val="00B4099F"/>
  </w:style>
  <w:style w:type="character" w:customStyle="1" w:styleId="WW8NumSt1z0">
    <w:name w:val="WW8NumSt1z0"/>
    <w:rsid w:val="00B4099F"/>
    <w:rPr>
      <w:rFonts w:ascii="Symbol" w:hAnsi="Symbol" w:cs="Symbol"/>
    </w:rPr>
  </w:style>
  <w:style w:type="character" w:styleId="a5">
    <w:name w:val="Emphasis"/>
    <w:rsid w:val="00B4099F"/>
    <w:rPr>
      <w:i/>
      <w:iCs/>
    </w:rPr>
  </w:style>
  <w:style w:type="character" w:customStyle="1" w:styleId="Internetlink">
    <w:name w:val="Internet link"/>
    <w:rsid w:val="00B4099F"/>
    <w:rPr>
      <w:color w:val="0000FF"/>
      <w:u w:val="single"/>
    </w:rPr>
  </w:style>
  <w:style w:type="numbering" w:customStyle="1" w:styleId="WW8Num1">
    <w:name w:val="WW8Num1"/>
    <w:basedOn w:val="a2"/>
    <w:rsid w:val="00B4099F"/>
    <w:pPr>
      <w:numPr>
        <w:numId w:val="1"/>
      </w:numPr>
    </w:pPr>
  </w:style>
  <w:style w:type="paragraph" w:styleId="a6">
    <w:name w:val="Title"/>
    <w:basedOn w:val="a"/>
    <w:link w:val="a7"/>
    <w:qFormat/>
    <w:rsid w:val="00510C13"/>
    <w:pPr>
      <w:widowControl/>
      <w:suppressAutoHyphens w:val="0"/>
      <w:overflowPunct w:val="0"/>
      <w:autoSpaceDE w:val="0"/>
      <w:adjustRightInd w:val="0"/>
      <w:spacing w:line="360" w:lineRule="auto"/>
      <w:jc w:val="center"/>
    </w:pPr>
    <w:rPr>
      <w:rFonts w:ascii="Arial" w:eastAsia="Times New Roman" w:hAnsi="Arial" w:cs="Times New Roman"/>
      <w:b/>
      <w:kern w:val="0"/>
      <w:sz w:val="40"/>
      <w:szCs w:val="20"/>
      <w:lang w:eastAsia="ru-RU" w:bidi="ar-SA"/>
    </w:rPr>
  </w:style>
  <w:style w:type="character" w:customStyle="1" w:styleId="a7">
    <w:name w:val="Заголовок Знак"/>
    <w:basedOn w:val="a0"/>
    <w:link w:val="a6"/>
    <w:rsid w:val="00510C13"/>
    <w:rPr>
      <w:rFonts w:ascii="Arial" w:eastAsia="Times New Roman" w:hAnsi="Arial" w:cs="Times New Roman"/>
      <w:b/>
      <w:sz w:val="40"/>
      <w:szCs w:val="20"/>
      <w:lang w:eastAsia="ru-RU"/>
    </w:rPr>
  </w:style>
  <w:style w:type="paragraph" w:styleId="HTML">
    <w:name w:val="HTML Preformatted"/>
    <w:basedOn w:val="a"/>
    <w:link w:val="HTML0"/>
    <w:uiPriority w:val="99"/>
    <w:unhideWhenUsed/>
    <w:rsid w:val="00510C1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eastAsia="Times New Roman" w:hAnsi="Courier New" w:cs="Courier New"/>
      <w:kern w:val="0"/>
      <w:sz w:val="20"/>
      <w:szCs w:val="20"/>
      <w:lang w:eastAsia="ru-RU" w:bidi="ar-SA"/>
    </w:rPr>
  </w:style>
  <w:style w:type="character" w:customStyle="1" w:styleId="HTML0">
    <w:name w:val="Стандартный HTML Знак"/>
    <w:basedOn w:val="a0"/>
    <w:link w:val="HTML"/>
    <w:uiPriority w:val="99"/>
    <w:rsid w:val="00510C13"/>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592</Words>
  <Characters>3377</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Ольга</cp:lastModifiedBy>
  <cp:revision>2</cp:revision>
  <dcterms:created xsi:type="dcterms:W3CDTF">2019-04-05T14:05:00Z</dcterms:created>
  <dcterms:modified xsi:type="dcterms:W3CDTF">2019-04-05T14:05:00Z</dcterms:modified>
</cp:coreProperties>
</file>