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B0B6C" w14:textId="77777777" w:rsidR="001C0AEF" w:rsidRDefault="001C0AEF">
      <w:pPr>
        <w:pStyle w:val="BodyText"/>
        <w:ind w:left="0"/>
        <w:jc w:val="left"/>
        <w:rPr>
          <w:sz w:val="20"/>
        </w:rPr>
      </w:pPr>
    </w:p>
    <w:p w14:paraId="1699CB48" w14:textId="3362193E" w:rsidR="00B26CC6" w:rsidRPr="001809B6" w:rsidRDefault="00B26CC6" w:rsidP="00B26CC6">
      <w:pPr>
        <w:rPr>
          <w:b/>
          <w:bCs/>
          <w:sz w:val="32"/>
          <w:szCs w:val="32"/>
        </w:rPr>
      </w:pPr>
      <w:r>
        <w:rPr>
          <w:noProof/>
        </w:rPr>
        <w:t xml:space="preserve"> </w:t>
      </w:r>
      <w:r w:rsidRPr="001809B6">
        <w:rPr>
          <w:rFonts w:eastAsiaTheme="majorEastAsia"/>
          <w:b/>
          <w:bCs/>
          <w:sz w:val="32"/>
          <w:szCs w:val="32"/>
        </w:rPr>
        <w:t>Electrophysiology Consideration in Movement Disorder Surgery</w:t>
      </w:r>
    </w:p>
    <w:p w14:paraId="4FD20FDE" w14:textId="5B7C81AC" w:rsidR="001C0AEF" w:rsidRDefault="00B26CC6" w:rsidP="00B26CC6">
      <w:pPr>
        <w:pStyle w:val="Heading1"/>
        <w:bidi/>
        <w:spacing w:before="181"/>
      </w:pPr>
      <w:r>
        <w:rPr>
          <w:noProof/>
        </w:rPr>
        <w:drawing>
          <wp:inline distT="0" distB="0" distL="0" distR="0" wp14:anchorId="1EDD738C" wp14:editId="5287936D">
            <wp:extent cx="1530350" cy="1530350"/>
            <wp:effectExtent l="0" t="0" r="0" b="0"/>
            <wp:docPr id="2" name="Picture 2"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408" descr="profile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0350" cy="1530350"/>
                    </a:xfrm>
                    <a:prstGeom prst="rect">
                      <a:avLst/>
                    </a:prstGeom>
                    <a:noFill/>
                    <a:ln>
                      <a:noFill/>
                    </a:ln>
                  </pic:spPr>
                </pic:pic>
              </a:graphicData>
            </a:graphic>
          </wp:inline>
        </w:drawing>
      </w:r>
    </w:p>
    <w:p w14:paraId="48B78520" w14:textId="77777777" w:rsidR="001C0AEF" w:rsidRDefault="001C0AEF">
      <w:pPr>
        <w:pStyle w:val="BodyText"/>
        <w:spacing w:before="4"/>
        <w:ind w:left="0"/>
        <w:jc w:val="left"/>
        <w:rPr>
          <w:rFonts w:ascii="Carlito"/>
          <w:b/>
          <w:sz w:val="26"/>
        </w:rPr>
      </w:pPr>
    </w:p>
    <w:p w14:paraId="68EF6569" w14:textId="77777777" w:rsidR="00B26CC6" w:rsidRDefault="00B26CC6">
      <w:pPr>
        <w:pStyle w:val="Heading3"/>
        <w:spacing w:before="0" w:line="253" w:lineRule="exact"/>
        <w:ind w:left="100"/>
      </w:pPr>
      <w:r>
        <w:t>Seyedeh Haniyeh Mortazavi</w:t>
      </w:r>
    </w:p>
    <w:p w14:paraId="5E3FD10F" w14:textId="2ED387C6" w:rsidR="001C0AEF" w:rsidRDefault="00B26CC6">
      <w:pPr>
        <w:pStyle w:val="Heading3"/>
        <w:spacing w:before="0" w:line="253" w:lineRule="exact"/>
        <w:ind w:left="100"/>
      </w:pPr>
      <w:r>
        <w:t>Shiraz University of Medical Sciences,Iran.</w:t>
      </w:r>
    </w:p>
    <w:p w14:paraId="51440996" w14:textId="77777777" w:rsidR="001C0AEF" w:rsidRDefault="001C0AEF">
      <w:pPr>
        <w:pStyle w:val="BodyText"/>
        <w:spacing w:before="6"/>
        <w:ind w:left="0"/>
        <w:jc w:val="left"/>
        <w:rPr>
          <w:sz w:val="15"/>
        </w:rPr>
      </w:pPr>
    </w:p>
    <w:p w14:paraId="3A3090DD" w14:textId="77777777" w:rsidR="001C0AEF" w:rsidRDefault="001C0AEF">
      <w:pPr>
        <w:rPr>
          <w:sz w:val="15"/>
        </w:rPr>
        <w:sectPr w:rsidR="001C0AEF">
          <w:headerReference w:type="default" r:id="rId8"/>
          <w:footerReference w:type="default" r:id="rId9"/>
          <w:type w:val="continuous"/>
          <w:pgSz w:w="11910" w:h="16840"/>
          <w:pgMar w:top="1420" w:right="1320" w:bottom="1260" w:left="1340" w:header="35" w:footer="1062" w:gutter="0"/>
          <w:cols w:space="720"/>
        </w:sectPr>
      </w:pPr>
    </w:p>
    <w:p w14:paraId="63D1B07D" w14:textId="77777777" w:rsidR="001C0AEF" w:rsidRDefault="001C0AEF">
      <w:pPr>
        <w:spacing w:line="206" w:lineRule="auto"/>
        <w:sectPr w:rsidR="001C0AEF">
          <w:type w:val="continuous"/>
          <w:pgSz w:w="11910" w:h="16840"/>
          <w:pgMar w:top="1420" w:right="1320" w:bottom="1260" w:left="1340" w:header="720" w:footer="720" w:gutter="0"/>
          <w:cols w:num="2" w:space="720" w:equalWidth="0">
            <w:col w:w="4265" w:space="603"/>
            <w:col w:w="4382"/>
          </w:cols>
        </w:sectPr>
      </w:pPr>
    </w:p>
    <w:p w14:paraId="4C26F30C" w14:textId="77777777" w:rsidR="00B26CC6" w:rsidRDefault="00B26CC6" w:rsidP="00B26CC6">
      <w:r w:rsidRPr="001809B6">
        <w:t>The vast majority of centers use electrophysiological mapping techniques to finalize target selection during implantation of deep brain stimulation (DBS) clues to treat Parkinson's disease and tremor. This review discusses the techniques used for physiological mapping and raises the question of how different mapping strategies target deep brain stimulation below the thalamus (STN), globus palidus internus (GPi), and ventralis intermedius (Vim). They give and choose the result. ) Mapping strategies vary widely at different centers, but in general those that use microelectrode or semi-microelectrode techniques to optimize the pre-implantation position and macro excitation via macroelectrode or lead DBS can be used, and those that are</w:t>
      </w:r>
      <w:r>
        <w:t xml:space="preserve"> the</w:t>
      </w:r>
      <w:r w:rsidRPr="001809B6">
        <w:t xml:space="preserve"> only threshold </w:t>
      </w:r>
      <w:r>
        <w:t xml:space="preserve">  </w:t>
      </w:r>
      <w:r w:rsidRPr="001809B6">
        <w:t xml:space="preserve">rely on clinical effects. </w:t>
      </w:r>
      <w:r>
        <w:t xml:space="preserve"> </w:t>
      </w:r>
      <w:r w:rsidRPr="001809B6">
        <w:t xml:space="preserve"> </w:t>
      </w:r>
      <w:r>
        <w:t xml:space="preserve"> </w:t>
      </w:r>
      <w:r w:rsidRPr="001809B6">
        <w:t xml:space="preserve"> Microelectrode criteria for implantation in STN or GPi include recorded nucleus length, the presence of neurons that respond to movement, and / or distance from boundaries to adjacent structures. However, the threshold for clinical advantage over side effects is, in most centers, the last and sometimes the only factor determining the position of the DBS electrode. Macro Stimulation Techniques for Mapping The application of microelectrode mapping to change electrode position is reflected in 1</w:t>
      </w:r>
      <w:r>
        <w:t>5</w:t>
      </w:r>
      <w:r w:rsidRPr="001809B6">
        <w:t>to 8</w:t>
      </w:r>
      <w:r>
        <w:t>5</w:t>
      </w:r>
      <w:r w:rsidRPr="001809B6">
        <w:t>% of patients undergoing STN DBS with an average target setting of 1 to 4 mm. However, in the absence of class I data, and given the large number of variables that affect clinical outcome, it cannot be concluded that one technique is superior to another to the extent that the result of the Parkinson's disease ranking scale is integrated. Concerned addition, the mapping technique is just one of many variables that determine the outcome. The increased risk of intracranial hemorrhage surgery associated with the number of microelectrode pathways should be weighed against the risk of underestimated benefits associated with the removal of this technique.</w:t>
      </w:r>
    </w:p>
    <w:p w14:paraId="7E6C92BC" w14:textId="77777777" w:rsidR="001C0AEF" w:rsidRDefault="001C0AEF">
      <w:pPr>
        <w:pStyle w:val="BodyText"/>
        <w:ind w:left="0"/>
        <w:jc w:val="left"/>
        <w:rPr>
          <w:sz w:val="20"/>
        </w:rPr>
      </w:pPr>
    </w:p>
    <w:p w14:paraId="264622A5" w14:textId="2405CD81" w:rsidR="001C0AEF" w:rsidRDefault="00B26CC6">
      <w:pPr>
        <w:pStyle w:val="Heading2"/>
        <w:spacing w:before="213"/>
        <w:jc w:val="both"/>
      </w:pPr>
      <w:r>
        <w:rPr>
          <w:noProof/>
        </w:rPr>
        <mc:AlternateContent>
          <mc:Choice Requires="wps">
            <w:drawing>
              <wp:anchor distT="0" distB="0" distL="114300" distR="114300" simplePos="0" relativeHeight="487527424" behindDoc="1" locked="0" layoutInCell="1" allowOverlap="1" wp14:anchorId="2BBFC4A4" wp14:editId="3BCF8A9F">
                <wp:simplePos x="0" y="0"/>
                <wp:positionH relativeFrom="page">
                  <wp:posOffset>4006215</wp:posOffset>
                </wp:positionH>
                <wp:positionV relativeFrom="paragraph">
                  <wp:posOffset>-2374265</wp:posOffset>
                </wp:positionV>
                <wp:extent cx="2617470" cy="2051685"/>
                <wp:effectExtent l="0" t="0" r="0" b="0"/>
                <wp:wrapNone/>
                <wp:docPr id="1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17470" cy="2051685"/>
                        </a:xfrm>
                        <a:custGeom>
                          <a:avLst/>
                          <a:gdLst>
                            <a:gd name="T0" fmla="+- 0 10430 6309"/>
                            <a:gd name="T1" fmla="*/ T0 w 4122"/>
                            <a:gd name="T2" fmla="+- 0 -3739 -3739"/>
                            <a:gd name="T3" fmla="*/ -3739 h 3231"/>
                            <a:gd name="T4" fmla="+- 0 6309 6309"/>
                            <a:gd name="T5" fmla="*/ T4 w 4122"/>
                            <a:gd name="T6" fmla="+- 0 -3739 -3739"/>
                            <a:gd name="T7" fmla="*/ -3739 h 3231"/>
                            <a:gd name="T8" fmla="+- 0 6309 6309"/>
                            <a:gd name="T9" fmla="*/ T8 w 4122"/>
                            <a:gd name="T10" fmla="+- 0 -3562 -3739"/>
                            <a:gd name="T11" fmla="*/ -3562 h 3231"/>
                            <a:gd name="T12" fmla="+- 0 6309 6309"/>
                            <a:gd name="T13" fmla="*/ T12 w 4122"/>
                            <a:gd name="T14" fmla="+- 0 -3528 -3739"/>
                            <a:gd name="T15" fmla="*/ -3528 h 3231"/>
                            <a:gd name="T16" fmla="+- 0 6309 6309"/>
                            <a:gd name="T17" fmla="*/ T16 w 4122"/>
                            <a:gd name="T18" fmla="+- 0 -509 -3739"/>
                            <a:gd name="T19" fmla="*/ -509 h 3231"/>
                            <a:gd name="T20" fmla="+- 0 10430 6309"/>
                            <a:gd name="T21" fmla="*/ T20 w 4122"/>
                            <a:gd name="T22" fmla="+- 0 -509 -3739"/>
                            <a:gd name="T23" fmla="*/ -509 h 3231"/>
                            <a:gd name="T24" fmla="+- 0 10430 6309"/>
                            <a:gd name="T25" fmla="*/ T24 w 4122"/>
                            <a:gd name="T26" fmla="+- 0 -3562 -3739"/>
                            <a:gd name="T27" fmla="*/ -3562 h 3231"/>
                            <a:gd name="T28" fmla="+- 0 10430 6309"/>
                            <a:gd name="T29" fmla="*/ T28 w 4122"/>
                            <a:gd name="T30" fmla="+- 0 -3739 -3739"/>
                            <a:gd name="T31" fmla="*/ -3739 h 32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122" h="3231">
                              <a:moveTo>
                                <a:pt x="4121" y="0"/>
                              </a:moveTo>
                              <a:lnTo>
                                <a:pt x="0" y="0"/>
                              </a:lnTo>
                              <a:lnTo>
                                <a:pt x="0" y="177"/>
                              </a:lnTo>
                              <a:lnTo>
                                <a:pt x="0" y="211"/>
                              </a:lnTo>
                              <a:lnTo>
                                <a:pt x="0" y="3230"/>
                              </a:lnTo>
                              <a:lnTo>
                                <a:pt x="4121" y="3230"/>
                              </a:lnTo>
                              <a:lnTo>
                                <a:pt x="4121" y="177"/>
                              </a:lnTo>
                              <a:lnTo>
                                <a:pt x="41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B8EFD" id="Freeform 2" o:spid="_x0000_s1026" style="position:absolute;margin-left:315.45pt;margin-top:-186.95pt;width:206.1pt;height:161.55pt;z-index:-1578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22,3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" path="m4121,l,,,177r,34l,3230r4121,l4121,177,4121,xe" stroked="f">
                <v:path arrowok="t" o:connecttype="custom" o:connectlocs="2616835,-2374265;0,-2374265;0,-2261870;0,-2240280;0,-323215;2616835,-323215;2616835,-2261870;2616835,-2374265" o:connectangles="0,0,0,0,0,0,0,0"/>
                <w10:wrap anchorx="page"/>
              </v:shape>
            </w:pict>
          </mc:Fallback>
        </mc:AlternateContent>
      </w:r>
      <w:r w:rsidR="00AE05CE">
        <w:rPr>
          <w:color w:val="F78F2C"/>
        </w:rPr>
        <w:t>Biography (200)</w:t>
      </w:r>
    </w:p>
    <w:p w14:paraId="3BD3FA17" w14:textId="3ED29D4D" w:rsidR="001C0AEF" w:rsidRDefault="00B26CC6">
      <w:pPr>
        <w:pStyle w:val="BodyText"/>
        <w:ind w:left="0"/>
        <w:jc w:val="left"/>
      </w:pPr>
      <w:r>
        <w:t>Surgical Neurophysiologist</w:t>
      </w:r>
      <w:r>
        <w:t>-</w:t>
      </w:r>
      <w:r>
        <w:t xml:space="preserve"> Procedural consultant training of Surgeons for DBS. Refrence :Alaa.Bouzhar,Dr.Cyrus.Ghobadi</w:t>
      </w:r>
    </w:p>
    <w:p w14:paraId="30E961A6" w14:textId="6D8AA4EC" w:rsidR="00B26CC6" w:rsidRPr="00B26CC6" w:rsidRDefault="00B26CC6">
      <w:pPr>
        <w:pStyle w:val="BodyText"/>
        <w:ind w:left="0"/>
        <w:jc w:val="left"/>
        <w:rPr>
          <w:rFonts w:asciiTheme="majorBidi" w:hAnsiTheme="majorBidi" w:cstheme="majorBidi"/>
        </w:rPr>
      </w:pPr>
      <w:r w:rsidRPr="00B26CC6">
        <w:rPr>
          <w:rStyle w:val="markedcontent"/>
          <w:rFonts w:asciiTheme="majorBidi" w:hAnsiTheme="majorBidi" w:cstheme="majorBidi"/>
        </w:rPr>
        <w:t>Neuroscience laboratory researcher (Nsl researcher), School of</w:t>
      </w:r>
      <w:r w:rsidRPr="00B26CC6">
        <w:rPr>
          <w:rFonts w:asciiTheme="majorBidi" w:hAnsiTheme="majorBidi" w:cstheme="majorBidi"/>
        </w:rPr>
        <w:br/>
      </w:r>
      <w:r w:rsidRPr="00B26CC6">
        <w:rPr>
          <w:rStyle w:val="markedcontent"/>
          <w:rFonts w:asciiTheme="majorBidi" w:hAnsiTheme="majorBidi" w:cstheme="majorBidi"/>
        </w:rPr>
        <w:t>Advanced Medical Sciences and Technologies, Shiraz University of</w:t>
      </w:r>
      <w:r w:rsidRPr="00B26CC6">
        <w:rPr>
          <w:rFonts w:asciiTheme="majorBidi" w:hAnsiTheme="majorBidi" w:cstheme="majorBidi"/>
        </w:rPr>
        <w:br/>
      </w:r>
      <w:r w:rsidRPr="00B26CC6">
        <w:rPr>
          <w:rStyle w:val="markedcontent"/>
          <w:rFonts w:asciiTheme="majorBidi" w:hAnsiTheme="majorBidi" w:cstheme="majorBidi"/>
        </w:rPr>
        <w:t>Medical Sciences, Shiraz,Fars, Iran .</w:t>
      </w:r>
      <w:r w:rsidRPr="00B26CC6">
        <w:rPr>
          <w:rFonts w:asciiTheme="majorBidi" w:hAnsiTheme="majorBidi" w:cstheme="majorBidi"/>
        </w:rPr>
        <w:br/>
      </w:r>
      <w:r w:rsidRPr="00B26CC6">
        <w:rPr>
          <w:rStyle w:val="markedcontent"/>
          <w:rFonts w:asciiTheme="majorBidi" w:hAnsiTheme="majorBidi" w:cstheme="majorBidi"/>
        </w:rPr>
        <w:t>· Intra operative mapping (intra operative neurophysioogy)</w:t>
      </w:r>
      <w:r w:rsidRPr="00B26CC6">
        <w:rPr>
          <w:rFonts w:asciiTheme="majorBidi" w:hAnsiTheme="majorBidi" w:cstheme="majorBidi"/>
        </w:rPr>
        <w:br/>
      </w:r>
      <w:r w:rsidRPr="00B26CC6">
        <w:rPr>
          <w:rStyle w:val="markedcontent"/>
          <w:rFonts w:asciiTheme="majorBidi" w:hAnsiTheme="majorBidi" w:cstheme="majorBidi"/>
        </w:rPr>
        <w:t>as (Neurophysiologist) during brain and spine tumor surgeries at</w:t>
      </w:r>
      <w:r w:rsidRPr="00B26CC6">
        <w:rPr>
          <w:rFonts w:asciiTheme="majorBidi" w:hAnsiTheme="majorBidi" w:cstheme="majorBidi"/>
        </w:rPr>
        <w:br/>
      </w:r>
      <w:r w:rsidRPr="00B26CC6">
        <w:rPr>
          <w:rStyle w:val="markedcontent"/>
          <w:rFonts w:asciiTheme="majorBidi" w:hAnsiTheme="majorBidi" w:cstheme="majorBidi"/>
        </w:rPr>
        <w:t>Operating room of Chamran hospital of shiraz,fars,Iran.</w:t>
      </w:r>
    </w:p>
    <w:p w14:paraId="4E2E1A4C" w14:textId="77777777" w:rsidR="001C0AEF" w:rsidRDefault="00AE05CE">
      <w:pPr>
        <w:spacing w:before="1"/>
        <w:ind w:left="191"/>
        <w:jc w:val="both"/>
        <w:rPr>
          <w:b/>
          <w:sz w:val="24"/>
        </w:rPr>
      </w:pPr>
      <w:r>
        <w:rPr>
          <w:b/>
          <w:color w:val="F79546"/>
          <w:sz w:val="24"/>
        </w:rPr>
        <w:t>About Institution(200)</w:t>
      </w:r>
    </w:p>
    <w:p w14:paraId="558A42A9" w14:textId="77777777" w:rsidR="00B26CC6" w:rsidRPr="00B26CC6" w:rsidRDefault="00B26CC6" w:rsidP="00B26CC6">
      <w:pPr>
        <w:widowControl/>
        <w:autoSpaceDE/>
        <w:autoSpaceDN/>
        <w:spacing w:before="100" w:beforeAutospacing="1" w:after="100" w:afterAutospacing="1"/>
        <w:jc w:val="both"/>
        <w:rPr>
          <w:rFonts w:asciiTheme="majorBidi" w:hAnsiTheme="majorBidi" w:cstheme="majorBidi"/>
          <w:sz w:val="18"/>
          <w:szCs w:val="18"/>
        </w:rPr>
      </w:pPr>
      <w:r w:rsidRPr="00B26CC6">
        <w:rPr>
          <w:rFonts w:asciiTheme="majorBidi" w:hAnsiTheme="majorBidi" w:cstheme="majorBidi"/>
          <w:sz w:val="18"/>
          <w:szCs w:val="18"/>
        </w:rPr>
        <w:t>Shiraz University of Medical Sciences (SUMS), founded in 1946, is one of the oldest medical universities nationwide. Shiraz University of Medical Sciences was first established as the "Institute of Health for Higher Education". This institute was turned into the Faculty of Medicine in 1949.  "Nemazee Higher Institute for Nursing" and the School of Dentistry were founded in 1954 and 1970 respectively. Afterwards, other schools were shaped gradually.</w:t>
      </w:r>
    </w:p>
    <w:p w14:paraId="342C207E" w14:textId="77777777" w:rsidR="00B26CC6" w:rsidRPr="00B26CC6" w:rsidRDefault="00B26CC6" w:rsidP="00B26CC6">
      <w:pPr>
        <w:widowControl/>
        <w:autoSpaceDE/>
        <w:autoSpaceDN/>
        <w:spacing w:before="100" w:beforeAutospacing="1" w:after="100" w:afterAutospacing="1"/>
        <w:jc w:val="both"/>
        <w:rPr>
          <w:rFonts w:asciiTheme="majorBidi" w:hAnsiTheme="majorBidi" w:cstheme="majorBidi"/>
          <w:sz w:val="18"/>
          <w:szCs w:val="18"/>
        </w:rPr>
      </w:pPr>
      <w:r w:rsidRPr="00B26CC6">
        <w:rPr>
          <w:rFonts w:asciiTheme="majorBidi" w:hAnsiTheme="majorBidi" w:cstheme="majorBidi"/>
          <w:sz w:val="18"/>
          <w:szCs w:val="18"/>
        </w:rPr>
        <w:t xml:space="preserve">All public higher educational schools in Shiraz (medical and non-medical) were initially under the auspices of Shiraz University – former "Pahlavi University". In 1986 education of medical sciences in Iran was taken over by the "Ministry of Health, Treatment and Medical Education" with the purpose of utilizing national medical resources more desirably in addition to promoting healthcare as well as medical teaching and research. Consequently, all medical faculties and centers continued their </w:t>
      </w:r>
      <w:r w:rsidRPr="00B26CC6">
        <w:rPr>
          <w:rFonts w:asciiTheme="majorBidi" w:hAnsiTheme="majorBidi" w:cstheme="majorBidi"/>
          <w:sz w:val="18"/>
          <w:szCs w:val="18"/>
        </w:rPr>
        <w:lastRenderedPageBreak/>
        <w:t>activities under the new affiliation; "Shiraz University of Medical Sciences (SUMS)". Non-medical programs, however, are still offered under the supervision of </w:t>
      </w:r>
      <w:hyperlink r:id="rId10" w:history="1">
        <w:r w:rsidRPr="00B26CC6">
          <w:rPr>
            <w:rFonts w:asciiTheme="majorBidi" w:hAnsiTheme="majorBidi" w:cstheme="majorBidi"/>
            <w:color w:val="0000FF"/>
            <w:sz w:val="18"/>
            <w:szCs w:val="18"/>
            <w:u w:val="single"/>
          </w:rPr>
          <w:t>Shiraz University</w:t>
        </w:r>
      </w:hyperlink>
      <w:r w:rsidRPr="00B26CC6">
        <w:rPr>
          <w:rFonts w:asciiTheme="majorBidi" w:hAnsiTheme="majorBidi" w:cstheme="majorBidi"/>
          <w:sz w:val="18"/>
          <w:szCs w:val="18"/>
        </w:rPr>
        <w:t xml:space="preserve">. </w:t>
      </w:r>
    </w:p>
    <w:p w14:paraId="1BE7461C" w14:textId="77777777" w:rsidR="00B26CC6" w:rsidRPr="00B26CC6" w:rsidRDefault="00B26CC6" w:rsidP="00B26CC6">
      <w:pPr>
        <w:widowControl/>
        <w:autoSpaceDE/>
        <w:autoSpaceDN/>
        <w:spacing w:before="100" w:beforeAutospacing="1" w:after="100" w:afterAutospacing="1"/>
        <w:jc w:val="both"/>
        <w:rPr>
          <w:rFonts w:asciiTheme="majorBidi" w:hAnsiTheme="majorBidi" w:cstheme="majorBidi"/>
          <w:sz w:val="18"/>
          <w:szCs w:val="18"/>
        </w:rPr>
      </w:pPr>
      <w:r w:rsidRPr="00B26CC6">
        <w:rPr>
          <w:rFonts w:asciiTheme="majorBidi" w:hAnsiTheme="majorBidi" w:cstheme="majorBidi"/>
          <w:sz w:val="18"/>
          <w:szCs w:val="18"/>
        </w:rPr>
        <w:t>Shiraz University of Medical Sciences (SUMS) is not only responsible for training students in medical areas, but also manages all public hospitals, clinics and healthcare centers in Fars Province in southern Iran. The private sector of the health system in Fars is also under the surveillance of SUMS. </w:t>
      </w:r>
    </w:p>
    <w:p w14:paraId="12796CD4" w14:textId="77777777" w:rsidR="00B26CC6" w:rsidRPr="00B26CC6" w:rsidRDefault="00B26CC6" w:rsidP="00B26CC6">
      <w:pPr>
        <w:widowControl/>
        <w:autoSpaceDE/>
        <w:autoSpaceDN/>
        <w:spacing w:before="100" w:beforeAutospacing="1" w:after="100" w:afterAutospacing="1"/>
        <w:rPr>
          <w:rFonts w:asciiTheme="majorBidi" w:hAnsiTheme="majorBidi" w:cstheme="majorBidi"/>
          <w:sz w:val="18"/>
          <w:szCs w:val="18"/>
        </w:rPr>
      </w:pPr>
      <w:r w:rsidRPr="00B26CC6">
        <w:rPr>
          <w:rFonts w:asciiTheme="majorBidi" w:hAnsiTheme="majorBidi" w:cstheme="majorBidi"/>
          <w:sz w:val="18"/>
          <w:szCs w:val="18"/>
        </w:rPr>
        <w:t>The following feature SUMS:</w:t>
      </w:r>
    </w:p>
    <w:p w14:paraId="5750AD86" w14:textId="77777777" w:rsidR="00B26CC6" w:rsidRPr="00B26CC6" w:rsidRDefault="00B26CC6" w:rsidP="00B26CC6">
      <w:pPr>
        <w:widowControl/>
        <w:numPr>
          <w:ilvl w:val="0"/>
          <w:numId w:val="2"/>
        </w:numPr>
        <w:autoSpaceDE/>
        <w:autoSpaceDN/>
        <w:spacing w:before="100" w:beforeAutospacing="1" w:after="100" w:afterAutospacing="1"/>
        <w:rPr>
          <w:rFonts w:asciiTheme="majorBidi" w:hAnsiTheme="majorBidi" w:cstheme="majorBidi"/>
          <w:sz w:val="18"/>
          <w:szCs w:val="18"/>
        </w:rPr>
      </w:pPr>
      <w:r w:rsidRPr="00B26CC6">
        <w:rPr>
          <w:rFonts w:asciiTheme="majorBidi" w:hAnsiTheme="majorBidi" w:cstheme="majorBidi"/>
          <w:sz w:val="18"/>
          <w:szCs w:val="18"/>
        </w:rPr>
        <w:t>18 Schools</w:t>
      </w:r>
    </w:p>
    <w:p w14:paraId="4D1DC379" w14:textId="77777777" w:rsidR="00B26CC6" w:rsidRPr="00B26CC6" w:rsidRDefault="00B26CC6" w:rsidP="00B26CC6">
      <w:pPr>
        <w:widowControl/>
        <w:numPr>
          <w:ilvl w:val="0"/>
          <w:numId w:val="2"/>
        </w:numPr>
        <w:autoSpaceDE/>
        <w:autoSpaceDN/>
        <w:spacing w:before="100" w:beforeAutospacing="1" w:after="100" w:afterAutospacing="1"/>
        <w:rPr>
          <w:rFonts w:asciiTheme="majorBidi" w:hAnsiTheme="majorBidi" w:cstheme="majorBidi"/>
          <w:sz w:val="18"/>
          <w:szCs w:val="18"/>
        </w:rPr>
      </w:pPr>
      <w:r w:rsidRPr="00B26CC6">
        <w:rPr>
          <w:rFonts w:asciiTheme="majorBidi" w:hAnsiTheme="majorBidi" w:cstheme="majorBidi"/>
          <w:sz w:val="18"/>
          <w:szCs w:val="18"/>
        </w:rPr>
        <w:t>63 Research centers</w:t>
      </w:r>
    </w:p>
    <w:p w14:paraId="09E0D1FA" w14:textId="77777777" w:rsidR="00B26CC6" w:rsidRPr="00B26CC6" w:rsidRDefault="00B26CC6" w:rsidP="00B26CC6">
      <w:pPr>
        <w:widowControl/>
        <w:numPr>
          <w:ilvl w:val="0"/>
          <w:numId w:val="2"/>
        </w:numPr>
        <w:autoSpaceDE/>
        <w:autoSpaceDN/>
        <w:spacing w:before="100" w:beforeAutospacing="1" w:after="100" w:afterAutospacing="1"/>
        <w:rPr>
          <w:rFonts w:asciiTheme="majorBidi" w:hAnsiTheme="majorBidi" w:cstheme="majorBidi"/>
          <w:sz w:val="18"/>
          <w:szCs w:val="18"/>
        </w:rPr>
      </w:pPr>
      <w:r w:rsidRPr="00B26CC6">
        <w:rPr>
          <w:rFonts w:asciiTheme="majorBidi" w:hAnsiTheme="majorBidi" w:cstheme="majorBidi"/>
          <w:sz w:val="18"/>
          <w:szCs w:val="18"/>
        </w:rPr>
        <w:t>41 Public Hospitals (including 14 teaching hospitals)</w:t>
      </w:r>
    </w:p>
    <w:p w14:paraId="10E40F35" w14:textId="77777777" w:rsidR="00B26CC6" w:rsidRPr="00B26CC6" w:rsidRDefault="00B26CC6" w:rsidP="00B26CC6">
      <w:pPr>
        <w:widowControl/>
        <w:numPr>
          <w:ilvl w:val="0"/>
          <w:numId w:val="2"/>
        </w:numPr>
        <w:autoSpaceDE/>
        <w:autoSpaceDN/>
        <w:spacing w:before="100" w:beforeAutospacing="1" w:after="100" w:afterAutospacing="1"/>
        <w:rPr>
          <w:rFonts w:asciiTheme="majorBidi" w:hAnsiTheme="majorBidi" w:cstheme="majorBidi"/>
          <w:sz w:val="18"/>
          <w:szCs w:val="18"/>
        </w:rPr>
      </w:pPr>
      <w:r w:rsidRPr="00B26CC6">
        <w:rPr>
          <w:rFonts w:asciiTheme="majorBidi" w:hAnsiTheme="majorBidi" w:cstheme="majorBidi"/>
          <w:sz w:val="18"/>
          <w:szCs w:val="18"/>
        </w:rPr>
        <w:t>6 Research Incubators</w:t>
      </w:r>
    </w:p>
    <w:p w14:paraId="5F55A9D1" w14:textId="77777777" w:rsidR="001C0AEF" w:rsidRDefault="001C0AEF">
      <w:pPr>
        <w:spacing w:line="206" w:lineRule="auto"/>
        <w:sectPr w:rsidR="001C0AEF">
          <w:type w:val="continuous"/>
          <w:pgSz w:w="11910" w:h="16840"/>
          <w:pgMar w:top="1420" w:right="1320" w:bottom="1260" w:left="1340" w:header="720" w:footer="720" w:gutter="0"/>
          <w:cols w:space="720"/>
        </w:sectPr>
      </w:pPr>
    </w:p>
    <w:p w14:paraId="74609808" w14:textId="77777777" w:rsidR="001C0AEF" w:rsidRDefault="00AE05CE">
      <w:pPr>
        <w:pStyle w:val="BodyText"/>
        <w:ind w:left="200"/>
        <w:jc w:val="left"/>
        <w:rPr>
          <w:sz w:val="20"/>
        </w:rPr>
      </w:pPr>
      <w:r>
        <w:rPr>
          <w:noProof/>
          <w:sz w:val="20"/>
        </w:rPr>
        <w:lastRenderedPageBreak/>
        <w:drawing>
          <wp:inline distT="0" distB="0" distL="0" distR="0" wp14:anchorId="76E7913B" wp14:editId="2CBB737B">
            <wp:extent cx="1081527" cy="704088"/>
            <wp:effectExtent l="0" t="0" r="0" b="0"/>
            <wp:docPr id="3" name="image2.jpeg" descr="NRP - Smart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1081527" cy="704088"/>
                    </a:xfrm>
                    <a:prstGeom prst="rect">
                      <a:avLst/>
                    </a:prstGeom>
                  </pic:spPr>
                </pic:pic>
              </a:graphicData>
            </a:graphic>
          </wp:inline>
        </w:drawing>
      </w:r>
    </w:p>
    <w:p w14:paraId="38B55455" w14:textId="77777777" w:rsidR="001C0AEF" w:rsidRDefault="001C0AEF">
      <w:pPr>
        <w:pStyle w:val="BodyText"/>
        <w:spacing w:before="6"/>
        <w:ind w:left="0"/>
        <w:jc w:val="left"/>
        <w:rPr>
          <w:sz w:val="23"/>
        </w:rPr>
      </w:pPr>
    </w:p>
    <w:p w14:paraId="1F710A3C" w14:textId="77777777" w:rsidR="001C0AEF" w:rsidRDefault="00AE05CE">
      <w:pPr>
        <w:pStyle w:val="Heading1"/>
        <w:ind w:left="201"/>
        <w:rPr>
          <w:rFonts w:ascii="Times New Roman"/>
        </w:rPr>
      </w:pPr>
      <w:r>
        <w:rPr>
          <w:rFonts w:ascii="Times New Roman"/>
          <w:color w:val="F79546"/>
        </w:rPr>
        <w:t>References (15-20)</w:t>
      </w:r>
    </w:p>
    <w:p w14:paraId="178D8AA4" w14:textId="77777777" w:rsidR="00B26CC6" w:rsidRPr="00B26CC6" w:rsidRDefault="00B26CC6" w:rsidP="00B26CC6">
      <w:pPr>
        <w:tabs>
          <w:tab w:val="left" w:pos="562"/>
        </w:tabs>
        <w:spacing w:before="137" w:line="225" w:lineRule="auto"/>
        <w:ind w:right="125"/>
        <w:rPr>
          <w:sz w:val="18"/>
        </w:rPr>
      </w:pPr>
      <w:r w:rsidRPr="00B26CC6">
        <w:rPr>
          <w:sz w:val="18"/>
        </w:rPr>
        <w:t>1. Chen R, Remtulla H, Bolton CF. Electrophysiological study of diaphragmatic myoclonus. J Neurol Neurosurg Psychiatry. 1995;58:480–483. [PMC free article] [PubMed] [Google Scholar]</w:t>
      </w:r>
    </w:p>
    <w:p w14:paraId="2C0C6EFA" w14:textId="77777777" w:rsidR="00B26CC6" w:rsidRPr="00B26CC6" w:rsidRDefault="00B26CC6" w:rsidP="00B26CC6">
      <w:pPr>
        <w:tabs>
          <w:tab w:val="left" w:pos="562"/>
        </w:tabs>
        <w:spacing w:before="137" w:line="225" w:lineRule="auto"/>
        <w:ind w:right="125"/>
        <w:rPr>
          <w:sz w:val="18"/>
        </w:rPr>
      </w:pPr>
      <w:r w:rsidRPr="00B26CC6">
        <w:rPr>
          <w:sz w:val="18"/>
        </w:rPr>
        <w:t>2. Mima T, Hallett M, Shibasaki H. Chapter 7. Coherence, cortico-muscular. In: Hallett M, editor. Handbook of Clinical Neurophysiology. Vol 1. Elsevier; 2003. pp. 87–94. [Google Scholar]</w:t>
      </w:r>
    </w:p>
    <w:p w14:paraId="740A258A" w14:textId="77777777" w:rsidR="00B26CC6" w:rsidRPr="00B26CC6" w:rsidRDefault="00B26CC6" w:rsidP="00B26CC6">
      <w:pPr>
        <w:tabs>
          <w:tab w:val="left" w:pos="562"/>
        </w:tabs>
        <w:spacing w:before="137" w:line="225" w:lineRule="auto"/>
        <w:ind w:right="125"/>
        <w:rPr>
          <w:sz w:val="18"/>
        </w:rPr>
      </w:pPr>
      <w:r w:rsidRPr="00B26CC6">
        <w:rPr>
          <w:sz w:val="18"/>
        </w:rPr>
        <w:t>3. Mauguière F. Chapter 5. Somatosensory evoked responses. In: Hallett M, editor. Handbook of Clinical Neurophysiology. Vol 1. Elsevier; 2003. pp. 45–75. [Google Scholar]</w:t>
      </w:r>
    </w:p>
    <w:p w14:paraId="444F0C3A" w14:textId="77777777" w:rsidR="00B26CC6" w:rsidRPr="00B26CC6" w:rsidRDefault="00B26CC6" w:rsidP="00B26CC6">
      <w:pPr>
        <w:tabs>
          <w:tab w:val="left" w:pos="562"/>
        </w:tabs>
        <w:spacing w:before="137" w:line="225" w:lineRule="auto"/>
        <w:ind w:right="125"/>
        <w:rPr>
          <w:sz w:val="18"/>
        </w:rPr>
      </w:pPr>
      <w:r w:rsidRPr="00B26CC6">
        <w:rPr>
          <w:sz w:val="18"/>
        </w:rPr>
        <w:t>4. Pratt H, Politoske D, Starr A. Mechanically and electrically evoked somatosensory potentials in humans: effects of stimulus presentation rate. Electroencephalogr Clin Neurophysiol. 1980;49:240–249. [PubMed] [Google Scholar]</w:t>
      </w:r>
    </w:p>
    <w:p w14:paraId="2794F8E5" w14:textId="77777777" w:rsidR="00B26CC6" w:rsidRPr="00B26CC6" w:rsidRDefault="00B26CC6" w:rsidP="00B26CC6">
      <w:pPr>
        <w:tabs>
          <w:tab w:val="left" w:pos="562"/>
        </w:tabs>
        <w:spacing w:before="137" w:line="225" w:lineRule="auto"/>
        <w:ind w:right="125"/>
        <w:rPr>
          <w:sz w:val="18"/>
        </w:rPr>
      </w:pPr>
      <w:r w:rsidRPr="00B26CC6">
        <w:rPr>
          <w:sz w:val="18"/>
        </w:rPr>
        <w:t>5. Phielipp NM, Chen R. Chapter 10. Neurophysiologic assessment of movement disorders in humans, in movement disorders. In: LeDoux MS, editor. Movement disorders. 2nd ed. Boston: Academic Press; 2015. pp. 171–186. [Google Scholar]</w:t>
      </w:r>
    </w:p>
    <w:p w14:paraId="191D2B48" w14:textId="77777777" w:rsidR="00B26CC6" w:rsidRPr="00B26CC6" w:rsidRDefault="00B26CC6" w:rsidP="00B26CC6">
      <w:pPr>
        <w:tabs>
          <w:tab w:val="left" w:pos="562"/>
        </w:tabs>
        <w:spacing w:before="137" w:line="225" w:lineRule="auto"/>
        <w:ind w:right="125"/>
        <w:rPr>
          <w:sz w:val="18"/>
        </w:rPr>
      </w:pPr>
      <w:r w:rsidRPr="00B26CC6">
        <w:rPr>
          <w:sz w:val="18"/>
        </w:rPr>
        <w:t>6. van der Salm SM, Tijssen MA, Koelman JH, van Rootselaar AF. The bereitschaftspotential in jerky movement disorders. J Neurol Neurosurg Psychiatry. 2012;83:1162–1167. [PubMed] [Google Scholar]</w:t>
      </w:r>
    </w:p>
    <w:p w14:paraId="0F122494" w14:textId="77777777" w:rsidR="00B26CC6" w:rsidRPr="00B26CC6" w:rsidRDefault="00B26CC6" w:rsidP="00B26CC6">
      <w:pPr>
        <w:tabs>
          <w:tab w:val="left" w:pos="562"/>
        </w:tabs>
        <w:spacing w:before="137" w:line="225" w:lineRule="auto"/>
        <w:ind w:right="125"/>
        <w:rPr>
          <w:sz w:val="18"/>
        </w:rPr>
      </w:pPr>
      <w:r w:rsidRPr="00B26CC6">
        <w:rPr>
          <w:sz w:val="18"/>
        </w:rPr>
        <w:t>7. Cassim F, Szurhaj W, Sediri H, Devos D, Bourriez J, Poirot I, et al. Brief and sustained movements: differences in event-related (de)synchronization (ERD/ERS) patterns. Clin Neurophysiol. 2000;111:2032–2039. [PubMed] [Google Scholar]</w:t>
      </w:r>
    </w:p>
    <w:p w14:paraId="4611F6D1" w14:textId="77777777" w:rsidR="00B26CC6" w:rsidRPr="00B26CC6" w:rsidRDefault="00B26CC6" w:rsidP="00B26CC6">
      <w:pPr>
        <w:tabs>
          <w:tab w:val="left" w:pos="562"/>
        </w:tabs>
        <w:spacing w:before="137" w:line="225" w:lineRule="auto"/>
        <w:ind w:right="125"/>
        <w:rPr>
          <w:sz w:val="18"/>
        </w:rPr>
      </w:pPr>
      <w:r w:rsidRPr="00B26CC6">
        <w:rPr>
          <w:sz w:val="18"/>
        </w:rPr>
        <w:t>8. Leocani L, Toro C, Manganotti P, Zhuang P, Hallett M. Event-related coherence and event-related desynchronization/synchronization in the 10 Hz and 20 Hz EEG during self-paced movements. Electroencephalography and Clinical Neurophysiology/Evoked Potentials Section. 1997;104:199–206. [PubMed] [Google Scholar]</w:t>
      </w:r>
    </w:p>
    <w:p w14:paraId="3A367A7B" w14:textId="77777777" w:rsidR="00B26CC6" w:rsidRPr="00B26CC6" w:rsidRDefault="00B26CC6" w:rsidP="00B26CC6">
      <w:pPr>
        <w:tabs>
          <w:tab w:val="left" w:pos="562"/>
        </w:tabs>
        <w:spacing w:before="137" w:line="225" w:lineRule="auto"/>
        <w:ind w:right="125"/>
        <w:rPr>
          <w:sz w:val="18"/>
        </w:rPr>
      </w:pPr>
      <w:r w:rsidRPr="00B26CC6">
        <w:rPr>
          <w:sz w:val="18"/>
        </w:rPr>
        <w:t>9. Pfurtscheller G, Lopes da Silva FH. Event-related EEG/MEG synchronization and desynchronization: basic principles. Clin Neurophysiol. 1999;110:1842–1857. [PubMed] [Google Scholar]</w:t>
      </w:r>
    </w:p>
    <w:p w14:paraId="57059042" w14:textId="77777777" w:rsidR="00B26CC6" w:rsidRPr="00B26CC6" w:rsidRDefault="00B26CC6" w:rsidP="00B26CC6">
      <w:pPr>
        <w:tabs>
          <w:tab w:val="left" w:pos="562"/>
        </w:tabs>
        <w:spacing w:before="137" w:line="225" w:lineRule="auto"/>
        <w:ind w:right="125"/>
        <w:rPr>
          <w:sz w:val="18"/>
        </w:rPr>
      </w:pPr>
      <w:r w:rsidRPr="00B26CC6">
        <w:rPr>
          <w:sz w:val="18"/>
        </w:rPr>
        <w:t>10. Beudel M, Zutt R, Meppelink AM, Little S, Elting JW, Stelten BML, et al. Improving neurophysiological biomarkers for functional myoclonic movements. Parkinsonism Relat Disord. 2018;51:3–8. [PMC free article] [PubMed] [Google Scholar]</w:t>
      </w:r>
    </w:p>
    <w:p w14:paraId="0B7C0A13" w14:textId="77777777" w:rsidR="00B26CC6" w:rsidRPr="00B26CC6" w:rsidRDefault="00B26CC6" w:rsidP="00B26CC6">
      <w:pPr>
        <w:tabs>
          <w:tab w:val="left" w:pos="562"/>
        </w:tabs>
        <w:spacing w:before="137" w:line="225" w:lineRule="auto"/>
        <w:ind w:right="125"/>
        <w:rPr>
          <w:sz w:val="18"/>
        </w:rPr>
      </w:pPr>
      <w:r w:rsidRPr="00B26CC6">
        <w:rPr>
          <w:sz w:val="18"/>
        </w:rPr>
        <w:t>11. Deuschl G, Eisen A. Long-latency reflexes following electrical nerve stimulation. The Inter national Federation of Clinical Neurophysiology. Electroencephalogr Clin Neurophysiol Suppl. 1999;52:263–268. [PubMed] [Google Scholar]</w:t>
      </w:r>
    </w:p>
    <w:p w14:paraId="309B2311" w14:textId="77777777" w:rsidR="00B26CC6" w:rsidRPr="00B26CC6" w:rsidRDefault="00B26CC6" w:rsidP="00B26CC6">
      <w:pPr>
        <w:tabs>
          <w:tab w:val="left" w:pos="562"/>
        </w:tabs>
        <w:spacing w:before="137" w:line="225" w:lineRule="auto"/>
        <w:ind w:right="125"/>
        <w:rPr>
          <w:sz w:val="18"/>
        </w:rPr>
      </w:pPr>
      <w:r w:rsidRPr="00B26CC6">
        <w:rPr>
          <w:sz w:val="18"/>
        </w:rPr>
        <w:t>12. Floeter MK. Chapter 16. Spinal reflexes. In: Hallett M, editor. Handbook of Clinical Neurophysiology. Vol 1. Elsevier; 2003. pp. 231–246. [Google Scholar]</w:t>
      </w:r>
    </w:p>
    <w:p w14:paraId="4A9D0470" w14:textId="77777777" w:rsidR="00B26CC6" w:rsidRPr="00B26CC6" w:rsidRDefault="00B26CC6" w:rsidP="00B26CC6">
      <w:pPr>
        <w:tabs>
          <w:tab w:val="left" w:pos="562"/>
        </w:tabs>
        <w:spacing w:before="137" w:line="225" w:lineRule="auto"/>
        <w:ind w:right="125"/>
        <w:rPr>
          <w:sz w:val="18"/>
        </w:rPr>
      </w:pPr>
      <w:r w:rsidRPr="00B26CC6">
        <w:rPr>
          <w:sz w:val="18"/>
        </w:rPr>
        <w:t>13. Chen R, Ashby P. Reflex responses in upper limb muscles to cutaneous stimuli. Can J Neurol Sci. 1993;20:271–278. [PubMed] [Google Scholar]</w:t>
      </w:r>
    </w:p>
    <w:p w14:paraId="3FDF646B" w14:textId="04C01E8C" w:rsidR="001C0AEF" w:rsidRPr="00B26CC6" w:rsidRDefault="00B26CC6" w:rsidP="00B26CC6">
      <w:pPr>
        <w:tabs>
          <w:tab w:val="left" w:pos="562"/>
        </w:tabs>
        <w:spacing w:before="137" w:line="225" w:lineRule="auto"/>
        <w:ind w:right="125"/>
        <w:rPr>
          <w:sz w:val="18"/>
        </w:rPr>
      </w:pPr>
      <w:r w:rsidRPr="00B26CC6">
        <w:rPr>
          <w:sz w:val="18"/>
        </w:rPr>
        <w:t>14. Jenner JR, Stephens JA. Cutaneous reflex responses and their central nervous pathways studied in man. J Physiol. 1982;333:405–419. [PMC free article] [PubMed] [Google Scholar]</w:t>
      </w:r>
    </w:p>
    <w:sectPr w:rsidR="001C0AEF" w:rsidRPr="00B26CC6">
      <w:pgSz w:w="11910" w:h="16840"/>
      <w:pgMar w:top="1420" w:right="1320" w:bottom="1260" w:left="1340" w:header="35" w:footer="10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8BDB9" w14:textId="77777777" w:rsidR="00AE05CE" w:rsidRDefault="00AE05CE">
      <w:r>
        <w:separator/>
      </w:r>
    </w:p>
  </w:endnote>
  <w:endnote w:type="continuationSeparator" w:id="0">
    <w:p w14:paraId="227D42B8" w14:textId="77777777" w:rsidR="00AE05CE" w:rsidRDefault="00AE0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ladea">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7C37" w14:textId="29D18971" w:rsidR="001C0AEF" w:rsidRDefault="00B26CC6">
    <w:pPr>
      <w:pStyle w:val="BodyText"/>
      <w:spacing w:line="14" w:lineRule="auto"/>
      <w:ind w:left="0"/>
      <w:jc w:val="left"/>
      <w:rPr>
        <w:sz w:val="20"/>
      </w:rPr>
    </w:pPr>
    <w:r>
      <w:rPr>
        <w:noProof/>
      </w:rPr>
      <mc:AlternateContent>
        <mc:Choice Requires="wps">
          <w:drawing>
            <wp:anchor distT="0" distB="0" distL="114300" distR="114300" simplePos="0" relativeHeight="487528448" behindDoc="1" locked="0" layoutInCell="1" allowOverlap="1" wp14:anchorId="19C0E5DD" wp14:editId="5E1D6C53">
              <wp:simplePos x="0" y="0"/>
              <wp:positionH relativeFrom="page">
                <wp:posOffset>896620</wp:posOffset>
              </wp:positionH>
              <wp:positionV relativeFrom="page">
                <wp:posOffset>9839960</wp:posOffset>
              </wp:positionV>
              <wp:extent cx="5769610" cy="56515"/>
              <wp:effectExtent l="0" t="0" r="0" b="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56515"/>
                      </a:xfrm>
                      <a:custGeom>
                        <a:avLst/>
                        <a:gdLst>
                          <a:gd name="T0" fmla="+- 0 10497 1412"/>
                          <a:gd name="T1" fmla="*/ T0 w 9086"/>
                          <a:gd name="T2" fmla="+- 0 15571 15496"/>
                          <a:gd name="T3" fmla="*/ 15571 h 89"/>
                          <a:gd name="T4" fmla="+- 0 1412 1412"/>
                          <a:gd name="T5" fmla="*/ T4 w 9086"/>
                          <a:gd name="T6" fmla="+- 0 15571 15496"/>
                          <a:gd name="T7" fmla="*/ 15571 h 89"/>
                          <a:gd name="T8" fmla="+- 0 1412 1412"/>
                          <a:gd name="T9" fmla="*/ T8 w 9086"/>
                          <a:gd name="T10" fmla="+- 0 15585 15496"/>
                          <a:gd name="T11" fmla="*/ 15585 h 89"/>
                          <a:gd name="T12" fmla="+- 0 10497 1412"/>
                          <a:gd name="T13" fmla="*/ T12 w 9086"/>
                          <a:gd name="T14" fmla="+- 0 15585 15496"/>
                          <a:gd name="T15" fmla="*/ 15585 h 89"/>
                          <a:gd name="T16" fmla="+- 0 10497 1412"/>
                          <a:gd name="T17" fmla="*/ T16 w 9086"/>
                          <a:gd name="T18" fmla="+- 0 15571 15496"/>
                          <a:gd name="T19" fmla="*/ 15571 h 89"/>
                          <a:gd name="T20" fmla="+- 0 10497 1412"/>
                          <a:gd name="T21" fmla="*/ T20 w 9086"/>
                          <a:gd name="T22" fmla="+- 0 15496 15496"/>
                          <a:gd name="T23" fmla="*/ 15496 h 89"/>
                          <a:gd name="T24" fmla="+- 0 1412 1412"/>
                          <a:gd name="T25" fmla="*/ T24 w 9086"/>
                          <a:gd name="T26" fmla="+- 0 15496 15496"/>
                          <a:gd name="T27" fmla="*/ 15496 h 89"/>
                          <a:gd name="T28" fmla="+- 0 1412 1412"/>
                          <a:gd name="T29" fmla="*/ T28 w 9086"/>
                          <a:gd name="T30" fmla="+- 0 15556 15496"/>
                          <a:gd name="T31" fmla="*/ 15556 h 89"/>
                          <a:gd name="T32" fmla="+- 0 10497 1412"/>
                          <a:gd name="T33" fmla="*/ T32 w 9086"/>
                          <a:gd name="T34" fmla="+- 0 15556 15496"/>
                          <a:gd name="T35" fmla="*/ 15556 h 89"/>
                          <a:gd name="T36" fmla="+- 0 10497 1412"/>
                          <a:gd name="T37" fmla="*/ T36 w 9086"/>
                          <a:gd name="T38" fmla="+- 0 15496 15496"/>
                          <a:gd name="T39" fmla="*/ 1549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86" h="89">
                            <a:moveTo>
                              <a:pt x="9085" y="75"/>
                            </a:moveTo>
                            <a:lnTo>
                              <a:pt x="0" y="75"/>
                            </a:lnTo>
                            <a:lnTo>
                              <a:pt x="0" y="89"/>
                            </a:lnTo>
                            <a:lnTo>
                              <a:pt x="9085" y="89"/>
                            </a:lnTo>
                            <a:lnTo>
                              <a:pt x="9085" y="75"/>
                            </a:lnTo>
                            <a:close/>
                            <a:moveTo>
                              <a:pt x="9085" y="0"/>
                            </a:moveTo>
                            <a:lnTo>
                              <a:pt x="0" y="0"/>
                            </a:lnTo>
                            <a:lnTo>
                              <a:pt x="0" y="60"/>
                            </a:lnTo>
                            <a:lnTo>
                              <a:pt x="9085" y="60"/>
                            </a:lnTo>
                            <a:lnTo>
                              <a:pt x="9085"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56E8E" id="AutoShape 3" o:spid="_x0000_s1026" style="position:absolute;margin-left:70.6pt;margin-top:774.8pt;width:454.3pt;height:4.45pt;z-index:-1578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8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" path="m9085,75l,75,,89r9085,l9085,75xm9085,l,,,60r9085,l9085,xe" fillcolor="#612322" stroked="f">
              <v:path arrowok="t" o:connecttype="custom" o:connectlocs="5768975,9887585;0,9887585;0,9896475;5768975,9896475;5768975,9887585;5768975,9839960;0,9839960;0,9878060;5768975,9878060;5768975,9839960" o:connectangles="0,0,0,0,0,0,0,0,0,0"/>
              <w10:wrap anchorx="page" anchory="page"/>
            </v:shape>
          </w:pict>
        </mc:Fallback>
      </mc:AlternateContent>
    </w:r>
    <w:r>
      <w:rPr>
        <w:noProof/>
      </w:rPr>
      <mc:AlternateContent>
        <mc:Choice Requires="wps">
          <w:drawing>
            <wp:anchor distT="0" distB="0" distL="114300" distR="114300" simplePos="0" relativeHeight="487528960" behindDoc="1" locked="0" layoutInCell="1" allowOverlap="1" wp14:anchorId="183EFC18" wp14:editId="7637D355">
              <wp:simplePos x="0" y="0"/>
              <wp:positionH relativeFrom="page">
                <wp:posOffset>901700</wp:posOffset>
              </wp:positionH>
              <wp:positionV relativeFrom="page">
                <wp:posOffset>9897110</wp:posOffset>
              </wp:positionV>
              <wp:extent cx="2342515" cy="18986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251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D034" w14:textId="77777777" w:rsidR="001C0AEF" w:rsidRDefault="00AE05CE">
                          <w:pPr>
                            <w:spacing w:before="21"/>
                            <w:ind w:left="20"/>
                            <w:rPr>
                              <w:rFonts w:ascii="Caladea"/>
                            </w:rPr>
                          </w:pPr>
                          <w:r>
                            <w:rPr>
                              <w:rFonts w:ascii="Caladea"/>
                            </w:rPr>
                            <w:t>neurologists.neurologyconference.com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EFC18" id="_x0000_t202" coordsize="21600,21600" o:spt="202" path="m,l,21600r21600,l21600,xe">
              <v:stroke joinstyle="miter"/>
              <v:path gradientshapeok="t" o:connecttype="rect"/>
            </v:shapetype>
            <v:shape id="Text Box 2" o:spid="_x0000_s1028" type="#_x0000_t202" style="position:absolute;margin-left:71pt;margin-top:779.3pt;width:184.45pt;height:14.95pt;z-index:-1578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" filled="f" stroked="f">
              <v:textbox inset="0,0,0,0">
                <w:txbxContent>
                  <w:p w14:paraId="55ACD034" w14:textId="77777777" w:rsidR="001C0AEF" w:rsidRDefault="00AE05CE">
                    <w:pPr>
                      <w:spacing w:before="21"/>
                      <w:ind w:left="20"/>
                      <w:rPr>
                        <w:rFonts w:ascii="Caladea"/>
                      </w:rPr>
                    </w:pPr>
                    <w:r>
                      <w:rPr>
                        <w:rFonts w:ascii="Caladea"/>
                      </w:rPr>
                      <w:t>neurologists.neurologyconference.com</w:t>
                    </w:r>
                  </w:p>
                </w:txbxContent>
              </v:textbox>
              <w10:wrap anchorx="page" anchory="page"/>
            </v:shape>
          </w:pict>
        </mc:Fallback>
      </mc:AlternateContent>
    </w:r>
    <w:r>
      <w:rPr>
        <w:noProof/>
      </w:rPr>
      <mc:AlternateContent>
        <mc:Choice Requires="wps">
          <w:drawing>
            <wp:anchor distT="0" distB="0" distL="114300" distR="114300" simplePos="0" relativeHeight="487529472" behindDoc="1" locked="0" layoutInCell="1" allowOverlap="1" wp14:anchorId="4359F006" wp14:editId="4BD10865">
              <wp:simplePos x="0" y="0"/>
              <wp:positionH relativeFrom="page">
                <wp:posOffset>5590540</wp:posOffset>
              </wp:positionH>
              <wp:positionV relativeFrom="page">
                <wp:posOffset>9897110</wp:posOffset>
              </wp:positionV>
              <wp:extent cx="1071245" cy="18986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F032B" w14:textId="77777777" w:rsidR="001C0AEF" w:rsidRDefault="00AE05CE">
                          <w:pPr>
                            <w:spacing w:before="21"/>
                            <w:ind w:left="20"/>
                            <w:rPr>
                              <w:rFonts w:ascii="Caladea"/>
                            </w:rPr>
                          </w:pPr>
                          <w:r>
                            <w:rPr>
                              <w:rFonts w:ascii="Caladea"/>
                            </w:rPr>
                            <w:t>Volume 7, Issue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9F006" id="Text Box 1" o:spid="_x0000_s1029" type="#_x0000_t202" style="position:absolute;margin-left:440.2pt;margin-top:779.3pt;width:84.35pt;height:14.95pt;z-index:-1578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" filled="f" stroked="f">
              <v:textbox inset="0,0,0,0">
                <w:txbxContent>
                  <w:p w14:paraId="0E5F032B" w14:textId="77777777" w:rsidR="001C0AEF" w:rsidRDefault="00AE05CE">
                    <w:pPr>
                      <w:spacing w:before="21"/>
                      <w:ind w:left="20"/>
                      <w:rPr>
                        <w:rFonts w:ascii="Caladea"/>
                      </w:rPr>
                    </w:pPr>
                    <w:r>
                      <w:rPr>
                        <w:rFonts w:ascii="Caladea"/>
                      </w:rPr>
                      <w:t>Volume 7, Issue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3D131" w14:textId="77777777" w:rsidR="00AE05CE" w:rsidRDefault="00AE05CE">
      <w:r>
        <w:separator/>
      </w:r>
    </w:p>
  </w:footnote>
  <w:footnote w:type="continuationSeparator" w:id="0">
    <w:p w14:paraId="354BC590" w14:textId="77777777" w:rsidR="00AE05CE" w:rsidRDefault="00AE0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BC2FD" w14:textId="121EA541" w:rsidR="001C0AEF" w:rsidRDefault="00B26CC6">
    <w:pPr>
      <w:pStyle w:val="BodyText"/>
      <w:spacing w:line="14" w:lineRule="auto"/>
      <w:ind w:left="0"/>
      <w:jc w:val="left"/>
      <w:rPr>
        <w:sz w:val="20"/>
      </w:rPr>
    </w:pPr>
    <w:r>
      <w:rPr>
        <w:noProof/>
      </w:rPr>
      <mc:AlternateContent>
        <mc:Choice Requires="wpg">
          <w:drawing>
            <wp:anchor distT="0" distB="0" distL="114300" distR="114300" simplePos="0" relativeHeight="487526912" behindDoc="1" locked="0" layoutInCell="1" allowOverlap="1" wp14:anchorId="20AB7B7C" wp14:editId="1FEE401F">
              <wp:simplePos x="0" y="0"/>
              <wp:positionH relativeFrom="page">
                <wp:posOffset>49530</wp:posOffset>
              </wp:positionH>
              <wp:positionV relativeFrom="page">
                <wp:posOffset>22225</wp:posOffset>
              </wp:positionV>
              <wp:extent cx="7436485" cy="851535"/>
              <wp:effectExtent l="0" t="0" r="0" b="0"/>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6485" cy="851535"/>
                        <a:chOff x="78" y="35"/>
                        <a:chExt cx="11711" cy="1341"/>
                      </a:xfrm>
                    </wpg:grpSpPr>
                    <wps:wsp>
                      <wps:cNvPr id="10" name="Rectangle 9"/>
                      <wps:cNvSpPr>
                        <a:spLocks noChangeArrowheads="1"/>
                      </wps:cNvSpPr>
                      <wps:spPr bwMode="auto">
                        <a:xfrm>
                          <a:off x="135" y="127"/>
                          <a:ext cx="9431" cy="1140"/>
                        </a:xfrm>
                        <a:prstGeom prst="rect">
                          <a:avLst/>
                        </a:prstGeom>
                        <a:solidFill>
                          <a:srgbClr val="6224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8"/>
                      <wps:cNvSpPr>
                        <a:spLocks noChangeArrowheads="1"/>
                      </wps:cNvSpPr>
                      <wps:spPr bwMode="auto">
                        <a:xfrm>
                          <a:off x="9606" y="127"/>
                          <a:ext cx="2121" cy="1140"/>
                        </a:xfrm>
                        <a:prstGeom prst="rect">
                          <a:avLst/>
                        </a:prstGeom>
                        <a:solidFill>
                          <a:srgbClr val="375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7"/>
                      <wps:cNvSpPr>
                        <a:spLocks noChangeArrowheads="1"/>
                      </wps:cNvSpPr>
                      <wps:spPr bwMode="auto">
                        <a:xfrm>
                          <a:off x="88" y="45"/>
                          <a:ext cx="11691" cy="1321"/>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E9980" id="Group 6" o:spid="_x0000_s1026" style="position:absolute;margin-left:3.9pt;margin-top:1.75pt;width:585.55pt;height:67.05pt;z-index:-15789568;mso-position-horizontal-relative:page;mso-position-vertical-relative:page" coordorigin="78,35" coordsize="1171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">
              <v:rect id="Rectangle 9" o:spid="_x0000_s1027" style="position:absolute;left:135;top:127;width:9431;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" fillcolor="#622422" stroked="f"/>
              <v:rect id="Rectangle 8" o:spid="_x0000_s1028" style="position:absolute;left:9606;top:127;width:2121;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" fillcolor="#375f92" stroked="f"/>
              <v:rect id="Rectangle 7" o:spid="_x0000_s1029" style="position:absolute;left:88;top:45;width:11691;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" filled="f" strokeweight="1pt"/>
              <w10:wrap anchorx="page" anchory="page"/>
            </v:group>
          </w:pict>
        </mc:Fallback>
      </mc:AlternateContent>
    </w:r>
    <w:r>
      <w:rPr>
        <w:noProof/>
      </w:rPr>
      <mc:AlternateContent>
        <mc:Choice Requires="wps">
          <w:drawing>
            <wp:anchor distT="0" distB="0" distL="114300" distR="114300" simplePos="0" relativeHeight="487527424" behindDoc="1" locked="0" layoutInCell="1" allowOverlap="1" wp14:anchorId="6DACF5B9" wp14:editId="40E44F92">
              <wp:simplePos x="0" y="0"/>
              <wp:positionH relativeFrom="page">
                <wp:posOffset>6180455</wp:posOffset>
              </wp:positionH>
              <wp:positionV relativeFrom="page">
                <wp:posOffset>196850</wp:posOffset>
              </wp:positionV>
              <wp:extent cx="1088390" cy="5334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9DEB5" w14:textId="77777777" w:rsidR="001C0AEF" w:rsidRDefault="00AE05CE">
                          <w:pPr>
                            <w:spacing w:line="387" w:lineRule="exact"/>
                            <w:ind w:left="20"/>
                            <w:rPr>
                              <w:rFonts w:ascii="Carlito"/>
                              <w:sz w:val="36"/>
                            </w:rPr>
                          </w:pPr>
                          <w:r>
                            <w:rPr>
                              <w:rFonts w:ascii="Carlito"/>
                              <w:color w:val="FFFFFF"/>
                              <w:sz w:val="36"/>
                            </w:rPr>
                            <w:t>ISSN: 2472-</w:t>
                          </w:r>
                        </w:p>
                        <w:p w14:paraId="4EC1BF5D" w14:textId="77777777" w:rsidR="001C0AEF" w:rsidRDefault="00AE05CE">
                          <w:pPr>
                            <w:ind w:left="20"/>
                            <w:rPr>
                              <w:rFonts w:ascii="Carlito"/>
                              <w:sz w:val="36"/>
                            </w:rPr>
                          </w:pPr>
                          <w:r>
                            <w:rPr>
                              <w:rFonts w:ascii="Carlito"/>
                              <w:color w:val="FFFFFF"/>
                              <w:sz w:val="36"/>
                            </w:rPr>
                            <w:t>1077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CF5B9" id="_x0000_t202" coordsize="21600,21600" o:spt="202" path="m,l,21600r21600,l21600,xe">
              <v:stroke joinstyle="miter"/>
              <v:path gradientshapeok="t" o:connecttype="rect"/>
            </v:shapetype>
            <v:shape id="Text Box 5" o:spid="_x0000_s1026" type="#_x0000_t202" style="position:absolute;margin-left:486.65pt;margin-top:15.5pt;width:85.7pt;height:42pt;z-index:-157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" filled="f" stroked="f">
              <v:textbox inset="0,0,0,0">
                <w:txbxContent>
                  <w:p w14:paraId="6C59DEB5" w14:textId="77777777" w:rsidR="001C0AEF" w:rsidRDefault="00AE05CE">
                    <w:pPr>
                      <w:spacing w:line="387" w:lineRule="exact"/>
                      <w:ind w:left="20"/>
                      <w:rPr>
                        <w:rFonts w:ascii="Carlito"/>
                        <w:sz w:val="36"/>
                      </w:rPr>
                    </w:pPr>
                    <w:r>
                      <w:rPr>
                        <w:rFonts w:ascii="Carlito"/>
                        <w:color w:val="FFFFFF"/>
                        <w:sz w:val="36"/>
                      </w:rPr>
                      <w:t>ISSN: 2472-</w:t>
                    </w:r>
                  </w:p>
                  <w:p w14:paraId="4EC1BF5D" w14:textId="77777777" w:rsidR="001C0AEF" w:rsidRDefault="00AE05CE">
                    <w:pPr>
                      <w:ind w:left="20"/>
                      <w:rPr>
                        <w:rFonts w:ascii="Carlito"/>
                        <w:sz w:val="36"/>
                      </w:rPr>
                    </w:pPr>
                    <w:r>
                      <w:rPr>
                        <w:rFonts w:ascii="Carlito"/>
                        <w:color w:val="FFFFFF"/>
                        <w:sz w:val="36"/>
                      </w:rPr>
                      <w:t>1077</w:t>
                    </w:r>
                  </w:p>
                </w:txbxContent>
              </v:textbox>
              <w10:wrap anchorx="page" anchory="page"/>
            </v:shape>
          </w:pict>
        </mc:Fallback>
      </mc:AlternateContent>
    </w:r>
    <w:r>
      <w:rPr>
        <w:noProof/>
      </w:rPr>
      <mc:AlternateContent>
        <mc:Choice Requires="wps">
          <w:drawing>
            <wp:anchor distT="0" distB="0" distL="114300" distR="114300" simplePos="0" relativeHeight="487527936" behindDoc="1" locked="0" layoutInCell="1" allowOverlap="1" wp14:anchorId="1F5BA475" wp14:editId="50F2980A">
              <wp:simplePos x="0" y="0"/>
              <wp:positionH relativeFrom="page">
                <wp:posOffset>163830</wp:posOffset>
              </wp:positionH>
              <wp:positionV relativeFrom="page">
                <wp:posOffset>263525</wp:posOffset>
              </wp:positionV>
              <wp:extent cx="5648960" cy="38798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960" cy="387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854BB" w14:textId="77777777" w:rsidR="001C0AEF" w:rsidRDefault="00AE05CE">
                          <w:pPr>
                            <w:spacing w:line="304" w:lineRule="exact"/>
                            <w:ind w:left="20"/>
                            <w:rPr>
                              <w:rFonts w:ascii="Carlito"/>
                              <w:b/>
                              <w:sz w:val="28"/>
                            </w:rPr>
                          </w:pPr>
                          <w:r>
                            <w:rPr>
                              <w:rFonts w:ascii="Carlito"/>
                              <w:color w:val="FFFFFF"/>
                              <w:sz w:val="28"/>
                            </w:rPr>
                            <w:t>Bipolar Disorder: Open Access</w:t>
                          </w:r>
                          <w:r>
                            <w:rPr>
                              <w:rFonts w:ascii="Carlito"/>
                              <w:color w:val="FFFFFF"/>
                              <w:sz w:val="24"/>
                            </w:rPr>
                            <w:t xml:space="preserve">| </w:t>
                          </w:r>
                          <w:r>
                            <w:rPr>
                              <w:rFonts w:ascii="Carlito"/>
                              <w:b/>
                              <w:color w:val="FFFFFF"/>
                              <w:sz w:val="28"/>
                            </w:rPr>
                            <w:t>3rd International Conference on Neurologists</w:t>
                          </w:r>
                        </w:p>
                        <w:p w14:paraId="33975995" w14:textId="77777777" w:rsidR="001C0AEF" w:rsidRDefault="00AE05CE">
                          <w:pPr>
                            <w:spacing w:line="291" w:lineRule="exact"/>
                            <w:ind w:left="20"/>
                            <w:rPr>
                              <w:rFonts w:ascii="Carlito"/>
                              <w:sz w:val="24"/>
                            </w:rPr>
                          </w:pPr>
                          <w:r>
                            <w:rPr>
                              <w:rFonts w:ascii="Carlito"/>
                              <w:color w:val="FFFFFF"/>
                              <w:sz w:val="24"/>
                            </w:rPr>
                            <w:t>April 28-29, 2022 Amsterdam, Netherlands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BA475" id="Text Box 4" o:spid="_x0000_s1027" type="#_x0000_t202" style="position:absolute;margin-left:12.9pt;margin-top:20.75pt;width:444.8pt;height:30.55pt;z-index:-1578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" filled="f" stroked="f">
              <v:textbox inset="0,0,0,0">
                <w:txbxContent>
                  <w:p w14:paraId="4DB854BB" w14:textId="77777777" w:rsidR="001C0AEF" w:rsidRDefault="00AE05CE">
                    <w:pPr>
                      <w:spacing w:line="304" w:lineRule="exact"/>
                      <w:ind w:left="20"/>
                      <w:rPr>
                        <w:rFonts w:ascii="Carlito"/>
                        <w:b/>
                        <w:sz w:val="28"/>
                      </w:rPr>
                    </w:pPr>
                    <w:r>
                      <w:rPr>
                        <w:rFonts w:ascii="Carlito"/>
                        <w:color w:val="FFFFFF"/>
                        <w:sz w:val="28"/>
                      </w:rPr>
                      <w:t>Bipolar Disorder: Open Access</w:t>
                    </w:r>
                    <w:r>
                      <w:rPr>
                        <w:rFonts w:ascii="Carlito"/>
                        <w:color w:val="FFFFFF"/>
                        <w:sz w:val="24"/>
                      </w:rPr>
                      <w:t xml:space="preserve">| </w:t>
                    </w:r>
                    <w:r>
                      <w:rPr>
                        <w:rFonts w:ascii="Carlito"/>
                        <w:b/>
                        <w:color w:val="FFFFFF"/>
                        <w:sz w:val="28"/>
                      </w:rPr>
                      <w:t>3rd International Conference on Neurologists</w:t>
                    </w:r>
                  </w:p>
                  <w:p w14:paraId="33975995" w14:textId="77777777" w:rsidR="001C0AEF" w:rsidRDefault="00AE05CE">
                    <w:pPr>
                      <w:spacing w:line="291" w:lineRule="exact"/>
                      <w:ind w:left="20"/>
                      <w:rPr>
                        <w:rFonts w:ascii="Carlito"/>
                        <w:sz w:val="24"/>
                      </w:rPr>
                    </w:pPr>
                    <w:r>
                      <w:rPr>
                        <w:rFonts w:ascii="Carlito"/>
                        <w:color w:val="FFFFFF"/>
                        <w:sz w:val="24"/>
                      </w:rPr>
                      <w:t>April 28-29, 2022 Amsterdam, Netherlands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E1872"/>
    <w:multiLevelType w:val="hybridMultilevel"/>
    <w:tmpl w:val="0CDC9508"/>
    <w:lvl w:ilvl="0" w:tplc="BA584C4E">
      <w:start w:val="1"/>
      <w:numFmt w:val="decimal"/>
      <w:lvlText w:val="%1."/>
      <w:lvlJc w:val="left"/>
      <w:pPr>
        <w:ind w:left="561" w:hanging="360"/>
        <w:jc w:val="left"/>
      </w:pPr>
      <w:rPr>
        <w:rFonts w:ascii="Times New Roman" w:eastAsia="Times New Roman" w:hAnsi="Times New Roman" w:cs="Times New Roman" w:hint="default"/>
        <w:color w:val="221F1F"/>
        <w:spacing w:val="-10"/>
        <w:w w:val="99"/>
        <w:sz w:val="24"/>
        <w:szCs w:val="24"/>
        <w:lang w:val="en-US" w:eastAsia="en-US" w:bidi="ar-SA"/>
      </w:rPr>
    </w:lvl>
    <w:lvl w:ilvl="1" w:tplc="D794DFFC">
      <w:numFmt w:val="bullet"/>
      <w:lvlText w:val="•"/>
      <w:lvlJc w:val="left"/>
      <w:pPr>
        <w:ind w:left="1428" w:hanging="360"/>
      </w:pPr>
      <w:rPr>
        <w:rFonts w:hint="default"/>
        <w:lang w:val="en-US" w:eastAsia="en-US" w:bidi="ar-SA"/>
      </w:rPr>
    </w:lvl>
    <w:lvl w:ilvl="2" w:tplc="68842CC2">
      <w:numFmt w:val="bullet"/>
      <w:lvlText w:val="•"/>
      <w:lvlJc w:val="left"/>
      <w:pPr>
        <w:ind w:left="2297" w:hanging="360"/>
      </w:pPr>
      <w:rPr>
        <w:rFonts w:hint="default"/>
        <w:lang w:val="en-US" w:eastAsia="en-US" w:bidi="ar-SA"/>
      </w:rPr>
    </w:lvl>
    <w:lvl w:ilvl="3" w:tplc="902C691A">
      <w:numFmt w:val="bullet"/>
      <w:lvlText w:val="•"/>
      <w:lvlJc w:val="left"/>
      <w:pPr>
        <w:ind w:left="3165" w:hanging="360"/>
      </w:pPr>
      <w:rPr>
        <w:rFonts w:hint="default"/>
        <w:lang w:val="en-US" w:eastAsia="en-US" w:bidi="ar-SA"/>
      </w:rPr>
    </w:lvl>
    <w:lvl w:ilvl="4" w:tplc="7F6CD08C">
      <w:numFmt w:val="bullet"/>
      <w:lvlText w:val="•"/>
      <w:lvlJc w:val="left"/>
      <w:pPr>
        <w:ind w:left="4034" w:hanging="360"/>
      </w:pPr>
      <w:rPr>
        <w:rFonts w:hint="default"/>
        <w:lang w:val="en-US" w:eastAsia="en-US" w:bidi="ar-SA"/>
      </w:rPr>
    </w:lvl>
    <w:lvl w:ilvl="5" w:tplc="381AC4B4">
      <w:numFmt w:val="bullet"/>
      <w:lvlText w:val="•"/>
      <w:lvlJc w:val="left"/>
      <w:pPr>
        <w:ind w:left="4903" w:hanging="360"/>
      </w:pPr>
      <w:rPr>
        <w:rFonts w:hint="default"/>
        <w:lang w:val="en-US" w:eastAsia="en-US" w:bidi="ar-SA"/>
      </w:rPr>
    </w:lvl>
    <w:lvl w:ilvl="6" w:tplc="D54C7A50">
      <w:numFmt w:val="bullet"/>
      <w:lvlText w:val="•"/>
      <w:lvlJc w:val="left"/>
      <w:pPr>
        <w:ind w:left="5771" w:hanging="360"/>
      </w:pPr>
      <w:rPr>
        <w:rFonts w:hint="default"/>
        <w:lang w:val="en-US" w:eastAsia="en-US" w:bidi="ar-SA"/>
      </w:rPr>
    </w:lvl>
    <w:lvl w:ilvl="7" w:tplc="D538522A">
      <w:numFmt w:val="bullet"/>
      <w:lvlText w:val="•"/>
      <w:lvlJc w:val="left"/>
      <w:pPr>
        <w:ind w:left="6640" w:hanging="360"/>
      </w:pPr>
      <w:rPr>
        <w:rFonts w:hint="default"/>
        <w:lang w:val="en-US" w:eastAsia="en-US" w:bidi="ar-SA"/>
      </w:rPr>
    </w:lvl>
    <w:lvl w:ilvl="8" w:tplc="9912CF76">
      <w:numFmt w:val="bullet"/>
      <w:lvlText w:val="•"/>
      <w:lvlJc w:val="left"/>
      <w:pPr>
        <w:ind w:left="7509" w:hanging="360"/>
      </w:pPr>
      <w:rPr>
        <w:rFonts w:hint="default"/>
        <w:lang w:val="en-US" w:eastAsia="en-US" w:bidi="ar-SA"/>
      </w:rPr>
    </w:lvl>
  </w:abstractNum>
  <w:abstractNum w:abstractNumId="1" w15:restartNumberingAfterBreak="0">
    <w:nsid w:val="410D4A39"/>
    <w:multiLevelType w:val="multilevel"/>
    <w:tmpl w:val="5E12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EF"/>
    <w:rsid w:val="001C0AEF"/>
    <w:rsid w:val="00AE05CE"/>
    <w:rsid w:val="00B26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E5F63"/>
  <w15:docId w15:val="{299A3E8B-1B06-4B2A-807F-43199D95C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6"/>
      <w:ind w:left="100"/>
      <w:outlineLvl w:val="0"/>
    </w:pPr>
    <w:rPr>
      <w:rFonts w:ascii="Carlito" w:eastAsia="Carlito" w:hAnsi="Carlito" w:cs="Carlito"/>
      <w:b/>
      <w:bCs/>
      <w:sz w:val="32"/>
      <w:szCs w:val="32"/>
    </w:rPr>
  </w:style>
  <w:style w:type="paragraph" w:styleId="Heading2">
    <w:name w:val="heading 2"/>
    <w:basedOn w:val="Normal"/>
    <w:uiPriority w:val="9"/>
    <w:unhideWhenUsed/>
    <w:qFormat/>
    <w:pPr>
      <w:ind w:left="100"/>
      <w:outlineLvl w:val="1"/>
    </w:pPr>
    <w:rPr>
      <w:sz w:val="24"/>
      <w:szCs w:val="24"/>
    </w:rPr>
  </w:style>
  <w:style w:type="paragraph" w:styleId="Heading3">
    <w:name w:val="heading 3"/>
    <w:basedOn w:val="Normal"/>
    <w:uiPriority w:val="9"/>
    <w:unhideWhenUsed/>
    <w:qFormat/>
    <w:pPr>
      <w:spacing w:before="21"/>
      <w:ind w:left="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1"/>
      <w:jc w:val="both"/>
    </w:pPr>
    <w:rPr>
      <w:sz w:val="18"/>
      <w:szCs w:val="18"/>
    </w:rPr>
  </w:style>
  <w:style w:type="paragraph" w:styleId="Title">
    <w:name w:val="Title"/>
    <w:basedOn w:val="Normal"/>
    <w:uiPriority w:val="10"/>
    <w:qFormat/>
    <w:pPr>
      <w:ind w:left="20"/>
    </w:pPr>
    <w:rPr>
      <w:rFonts w:ascii="Carlito" w:eastAsia="Carlito" w:hAnsi="Carlito" w:cs="Carlito"/>
      <w:sz w:val="36"/>
      <w:szCs w:val="36"/>
    </w:rPr>
  </w:style>
  <w:style w:type="paragraph" w:styleId="ListParagraph">
    <w:name w:val="List Paragraph"/>
    <w:basedOn w:val="Normal"/>
    <w:uiPriority w:val="1"/>
    <w:qFormat/>
    <w:pPr>
      <w:spacing w:before="128"/>
      <w:ind w:left="561" w:right="114" w:hanging="360"/>
      <w:jc w:val="both"/>
    </w:pPr>
  </w:style>
  <w:style w:type="paragraph" w:customStyle="1" w:styleId="TableParagraph">
    <w:name w:val="Table Paragraph"/>
    <w:basedOn w:val="Normal"/>
    <w:uiPriority w:val="1"/>
    <w:qFormat/>
  </w:style>
  <w:style w:type="character" w:customStyle="1" w:styleId="markedcontent">
    <w:name w:val="markedcontent"/>
    <w:basedOn w:val="DefaultParagraphFont"/>
    <w:rsid w:val="00B26CC6"/>
  </w:style>
  <w:style w:type="paragraph" w:styleId="NormalWeb">
    <w:name w:val="Normal (Web)"/>
    <w:basedOn w:val="Normal"/>
    <w:uiPriority w:val="99"/>
    <w:semiHidden/>
    <w:unhideWhenUsed/>
    <w:rsid w:val="00B26CC6"/>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B26C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6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hirazu.ac.ir/en"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1060</Words>
  <Characters>6045</Characters>
  <Application>Microsoft Office Word</Application>
  <DocSecurity>0</DocSecurity>
  <Lines>50</Lines>
  <Paragraphs>14</Paragraphs>
  <ScaleCrop>false</ScaleCrop>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Zanbagh</cp:lastModifiedBy>
  <cp:revision>2</cp:revision>
  <dcterms:created xsi:type="dcterms:W3CDTF">2022-02-16T20:54:00Z</dcterms:created>
  <dcterms:modified xsi:type="dcterms:W3CDTF">2022-02-16T20:54:00Z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2022-01-29T00:00:00Z</vt:filetime>
  </property>
  <property fmtid="{D5CDD505-2E9C-101B-9397-08002B2CF9AE}" pid="3" name="Creator">
    <vt:lpwstr>Microsoft® Word 2010</vt:lpwstr>
  </property>
  <property fmtid="{D5CDD505-2E9C-101B-9397-08002B2CF9AE}" pid="4" name="LastSaved">
    <vt:filetime>2022-02-16T00:00:00Z</vt:filetime>
  </property>
</Properties>
</file>