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EFD5E" w14:textId="3A3C3DD3" w:rsidR="00AE3E37" w:rsidRPr="00B77764" w:rsidRDefault="00F979CD" w:rsidP="00F979CD">
      <w:pPr>
        <w:pStyle w:val="Nadpis1"/>
        <w:spacing w:before="170"/>
        <w:ind w:left="0"/>
        <w:jc w:val="center"/>
        <w:rPr>
          <w:color w:val="C00000"/>
        </w:rPr>
      </w:pPr>
      <w:bookmarkStart w:id="0" w:name="_Hlk75334998"/>
      <w:bookmarkEnd w:id="0"/>
      <w:r w:rsidRPr="00B77764">
        <w:rPr>
          <w:color w:val="C00000"/>
        </w:rPr>
        <w:t xml:space="preserve">Risk assessment of </w:t>
      </w:r>
      <w:proofErr w:type="spellStart"/>
      <w:r w:rsidRPr="00B77764">
        <w:rPr>
          <w:color w:val="C00000"/>
        </w:rPr>
        <w:t>thrombophilic</w:t>
      </w:r>
      <w:proofErr w:type="spellEnd"/>
      <w:r w:rsidRPr="00B77764">
        <w:rPr>
          <w:color w:val="C00000"/>
        </w:rPr>
        <w:t xml:space="preserve"> mutations in young women</w:t>
      </w:r>
    </w:p>
    <w:p w14:paraId="7A87F343" w14:textId="77777777" w:rsidR="001F77EC" w:rsidRDefault="001F77EC" w:rsidP="005973B9">
      <w:pPr>
        <w:pStyle w:val="Zkladntext"/>
        <w:spacing w:before="73" w:line="198" w:lineRule="exact"/>
        <w:ind w:left="100" w:right="5987"/>
        <w:rPr>
          <w:rFonts w:ascii="Arial"/>
          <w:sz w:val="16"/>
          <w:szCs w:val="16"/>
        </w:rPr>
      </w:pPr>
    </w:p>
    <w:p w14:paraId="677E5B4C" w14:textId="587423A2" w:rsidR="00144295" w:rsidRPr="001F77EC" w:rsidRDefault="00F979CD" w:rsidP="005973B9">
      <w:pPr>
        <w:pStyle w:val="Zkladntext"/>
        <w:spacing w:before="73" w:line="198" w:lineRule="exact"/>
        <w:ind w:left="100" w:right="5987"/>
        <w:rPr>
          <w:rFonts w:ascii="Arial"/>
          <w:sz w:val="16"/>
          <w:szCs w:val="16"/>
          <w:vertAlign w:val="superscript"/>
        </w:rPr>
      </w:pPr>
      <w:r w:rsidRPr="001F77EC">
        <w:rPr>
          <w:rFonts w:ascii="Arial"/>
          <w:sz w:val="16"/>
          <w:szCs w:val="16"/>
        </w:rPr>
        <w:t xml:space="preserve">Riedlova, P. </w:t>
      </w:r>
      <w:proofErr w:type="spellStart"/>
      <w:r w:rsidRPr="001F77EC">
        <w:rPr>
          <w:rFonts w:ascii="Arial"/>
          <w:sz w:val="16"/>
          <w:szCs w:val="16"/>
        </w:rPr>
        <w:t>Mgr</w:t>
      </w:r>
      <w:proofErr w:type="spellEnd"/>
      <w:r w:rsidRPr="001F77EC">
        <w:rPr>
          <w:rFonts w:ascii="Arial"/>
          <w:sz w:val="16"/>
          <w:szCs w:val="16"/>
        </w:rPr>
        <w:t xml:space="preserve">, </w:t>
      </w:r>
      <w:r w:rsidR="005973B9" w:rsidRPr="001F77EC">
        <w:rPr>
          <w:rFonts w:ascii="Arial"/>
          <w:sz w:val="16"/>
          <w:szCs w:val="16"/>
        </w:rPr>
        <w:t>PhD</w:t>
      </w:r>
      <w:r w:rsidR="00144295" w:rsidRPr="001F77EC">
        <w:rPr>
          <w:rFonts w:ascii="Arial"/>
          <w:sz w:val="16"/>
          <w:szCs w:val="16"/>
          <w:vertAlign w:val="superscript"/>
        </w:rPr>
        <w:t>1</w:t>
      </w:r>
      <w:r w:rsidR="005973B9" w:rsidRPr="001F77EC">
        <w:rPr>
          <w:rFonts w:ascii="Arial"/>
          <w:sz w:val="16"/>
          <w:szCs w:val="16"/>
        </w:rPr>
        <w:t xml:space="preserve">, </w:t>
      </w:r>
      <w:proofErr w:type="spellStart"/>
      <w:r w:rsidR="00144295" w:rsidRPr="001F77EC">
        <w:rPr>
          <w:rFonts w:ascii="Arial"/>
          <w:sz w:val="16"/>
          <w:szCs w:val="16"/>
        </w:rPr>
        <w:t>Jirik</w:t>
      </w:r>
      <w:proofErr w:type="spellEnd"/>
      <w:r w:rsidR="00144295" w:rsidRPr="001F77EC">
        <w:rPr>
          <w:rFonts w:ascii="Arial"/>
          <w:sz w:val="16"/>
          <w:szCs w:val="16"/>
        </w:rPr>
        <w:t xml:space="preserve">, V., </w:t>
      </w:r>
      <w:proofErr w:type="spellStart"/>
      <w:r w:rsidR="00144295" w:rsidRPr="001F77EC">
        <w:rPr>
          <w:rFonts w:ascii="Arial"/>
          <w:sz w:val="16"/>
          <w:szCs w:val="16"/>
        </w:rPr>
        <w:t>RNDr</w:t>
      </w:r>
      <w:proofErr w:type="spellEnd"/>
      <w:r w:rsidR="00144295" w:rsidRPr="001F77EC">
        <w:rPr>
          <w:rFonts w:ascii="Arial"/>
          <w:sz w:val="16"/>
          <w:szCs w:val="16"/>
        </w:rPr>
        <w:t>., PhD</w:t>
      </w:r>
      <w:r w:rsidR="00144295" w:rsidRPr="001F77EC">
        <w:rPr>
          <w:rFonts w:ascii="Arial"/>
          <w:sz w:val="16"/>
          <w:szCs w:val="16"/>
          <w:vertAlign w:val="superscript"/>
        </w:rPr>
        <w:t>1</w:t>
      </w:r>
      <w:r w:rsidR="00144295" w:rsidRPr="001F77EC">
        <w:rPr>
          <w:rFonts w:ascii="Arial"/>
          <w:sz w:val="16"/>
          <w:szCs w:val="16"/>
        </w:rPr>
        <w:t xml:space="preserve"> </w:t>
      </w:r>
      <w:proofErr w:type="spellStart"/>
      <w:r w:rsidR="00144295" w:rsidRPr="001F77EC">
        <w:rPr>
          <w:rFonts w:ascii="Arial"/>
          <w:sz w:val="16"/>
          <w:szCs w:val="16"/>
        </w:rPr>
        <w:t>Ostrizkova</w:t>
      </w:r>
      <w:proofErr w:type="spellEnd"/>
      <w:r w:rsidR="00144295" w:rsidRPr="001F77EC">
        <w:rPr>
          <w:rFonts w:ascii="Arial"/>
          <w:sz w:val="16"/>
          <w:szCs w:val="16"/>
        </w:rPr>
        <w:t>, S, Mgr</w:t>
      </w:r>
      <w:r w:rsidR="00144295" w:rsidRPr="001F77EC">
        <w:rPr>
          <w:rFonts w:ascii="Arial"/>
          <w:sz w:val="16"/>
          <w:szCs w:val="16"/>
          <w:vertAlign w:val="superscript"/>
        </w:rPr>
        <w:t>1</w:t>
      </w:r>
      <w:r w:rsidR="00144295" w:rsidRPr="001F77EC">
        <w:rPr>
          <w:rFonts w:ascii="Arial"/>
          <w:sz w:val="16"/>
          <w:szCs w:val="16"/>
        </w:rPr>
        <w:t xml:space="preserve"> </w:t>
      </w:r>
      <w:proofErr w:type="spellStart"/>
      <w:r w:rsidR="00144295" w:rsidRPr="001F77EC">
        <w:rPr>
          <w:rFonts w:ascii="Arial"/>
          <w:sz w:val="16"/>
          <w:szCs w:val="16"/>
        </w:rPr>
        <w:t>Kramna</w:t>
      </w:r>
      <w:proofErr w:type="spellEnd"/>
      <w:r w:rsidR="00144295" w:rsidRPr="001F77EC">
        <w:rPr>
          <w:rFonts w:ascii="Arial"/>
          <w:sz w:val="16"/>
          <w:szCs w:val="16"/>
        </w:rPr>
        <w:t>, D, Mgr.</w:t>
      </w:r>
      <w:r w:rsidR="00144295" w:rsidRPr="001F77EC">
        <w:rPr>
          <w:rFonts w:ascii="Arial"/>
          <w:sz w:val="16"/>
          <w:szCs w:val="16"/>
          <w:vertAlign w:val="superscript"/>
        </w:rPr>
        <w:t>1</w:t>
      </w:r>
    </w:p>
    <w:p w14:paraId="01924766" w14:textId="623F1B68" w:rsidR="0010532C" w:rsidRPr="001F77EC" w:rsidRDefault="00144295" w:rsidP="005973B9">
      <w:pPr>
        <w:pStyle w:val="Zkladntext"/>
        <w:spacing w:before="73" w:line="198" w:lineRule="exact"/>
        <w:ind w:left="100" w:right="5987"/>
        <w:rPr>
          <w:rFonts w:ascii="Arial"/>
          <w:sz w:val="16"/>
          <w:szCs w:val="16"/>
        </w:rPr>
      </w:pPr>
      <w:r w:rsidRPr="001F77EC">
        <w:rPr>
          <w:rFonts w:ascii="Arial"/>
          <w:sz w:val="16"/>
          <w:szCs w:val="16"/>
        </w:rPr>
        <w:t xml:space="preserve">1. </w:t>
      </w:r>
      <w:r w:rsidR="0010532C" w:rsidRPr="001F77EC">
        <w:rPr>
          <w:rFonts w:ascii="Arial"/>
          <w:sz w:val="16"/>
          <w:szCs w:val="16"/>
        </w:rPr>
        <w:t>Centre of Epidemiological Research, Faculty of Medicine, University of Ostrava, Ostrava, Czech Republic</w:t>
      </w:r>
    </w:p>
    <w:p w14:paraId="43A2ED1E" w14:textId="77777777" w:rsidR="00AE3E37" w:rsidRDefault="00AE3E37">
      <w:pPr>
        <w:pStyle w:val="Zkladntext"/>
        <w:rPr>
          <w:rFonts w:ascii="Arial"/>
          <w:sz w:val="20"/>
        </w:rPr>
      </w:pPr>
    </w:p>
    <w:p w14:paraId="5C6F630D" w14:textId="57B01DA5"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837CAAE" w14:textId="0CDB8E58" w:rsidR="00AE3E37" w:rsidRPr="0010532C" w:rsidRDefault="00A9710C" w:rsidP="0010532C">
      <w:pPr>
        <w:pStyle w:val="Nadpis3"/>
        <w:spacing w:before="147"/>
        <w:ind w:left="0"/>
        <w:jc w:val="both"/>
        <w:rPr>
          <w:color w:val="C00000"/>
        </w:rPr>
      </w:pPr>
      <w:r w:rsidRPr="0010532C">
        <w:rPr>
          <w:color w:val="C00000"/>
        </w:rPr>
        <w:t>Abstract</w:t>
      </w:r>
      <w:r w:rsidR="00404E5B" w:rsidRPr="0010532C">
        <w:rPr>
          <w:color w:val="C00000"/>
        </w:rPr>
        <w:t xml:space="preserve"> </w:t>
      </w:r>
    </w:p>
    <w:p w14:paraId="4CB20EA5" w14:textId="0FC95DE7" w:rsidR="00F979CD" w:rsidRPr="00F979CD" w:rsidRDefault="00F979CD" w:rsidP="00F979CD">
      <w:pPr>
        <w:jc w:val="both"/>
        <w:rPr>
          <w:rFonts w:cstheme="minorHAnsi"/>
        </w:rPr>
      </w:pPr>
      <w:r w:rsidRPr="00F979CD">
        <w:rPr>
          <w:rFonts w:cstheme="minorHAnsi"/>
        </w:rPr>
        <w:t>Background:</w:t>
      </w:r>
      <w:r>
        <w:rPr>
          <w:rFonts w:cstheme="minorHAnsi"/>
        </w:rPr>
        <w:t xml:space="preserve"> </w:t>
      </w:r>
      <w:r w:rsidRPr="00CF1AFC">
        <w:rPr>
          <w:rFonts w:cstheme="minorHAnsi"/>
          <w:color w:val="000000"/>
        </w:rPr>
        <w:t>Venous thromboembolic disease (TEN) is a serious disease in which genetic factors play an important role</w:t>
      </w:r>
      <w:r>
        <w:rPr>
          <w:rFonts w:cstheme="minorHAnsi"/>
          <w:color w:val="000000"/>
        </w:rPr>
        <w:t xml:space="preserve"> (</w:t>
      </w:r>
      <w:proofErr w:type="spellStart"/>
      <w:r>
        <w:rPr>
          <w:rFonts w:cstheme="minorHAnsi"/>
          <w:color w:val="000000"/>
        </w:rPr>
        <w:t>trombophilic</w:t>
      </w:r>
      <w:proofErr w:type="spellEnd"/>
      <w:r>
        <w:rPr>
          <w:rFonts w:cstheme="minorHAnsi"/>
          <w:color w:val="000000"/>
        </w:rPr>
        <w:t xml:space="preserve"> mutations in genes FV</w:t>
      </w:r>
      <w:r w:rsidRPr="00CF1AFC">
        <w:rPr>
          <w:rFonts w:cstheme="minorHAnsi"/>
          <w:color w:val="000000"/>
        </w:rPr>
        <w:t xml:space="preserve"> Leiden and </w:t>
      </w:r>
      <w:r>
        <w:rPr>
          <w:rFonts w:cstheme="minorHAnsi"/>
          <w:color w:val="000000"/>
        </w:rPr>
        <w:t>F</w:t>
      </w:r>
      <w:r w:rsidRPr="00CF1AFC">
        <w:rPr>
          <w:rFonts w:cstheme="minorHAnsi"/>
          <w:color w:val="000000"/>
        </w:rPr>
        <w:t xml:space="preserve">II </w:t>
      </w:r>
      <w:r>
        <w:rPr>
          <w:rFonts w:cstheme="minorHAnsi"/>
          <w:color w:val="000000"/>
        </w:rPr>
        <w:t>P</w:t>
      </w:r>
      <w:r w:rsidRPr="00CF1AFC">
        <w:rPr>
          <w:rFonts w:cstheme="minorHAnsi"/>
          <w:color w:val="000000"/>
        </w:rPr>
        <w:t>rothrombin</w:t>
      </w:r>
      <w:r>
        <w:rPr>
          <w:rFonts w:cstheme="minorHAnsi"/>
          <w:color w:val="000000"/>
        </w:rPr>
        <w:t xml:space="preserve">). </w:t>
      </w:r>
      <w:r w:rsidRPr="00CF1AFC">
        <w:rPr>
          <w:rFonts w:cstheme="minorHAnsi"/>
          <w:color w:val="000000"/>
        </w:rPr>
        <w:t>In the Czech population, 5–10</w:t>
      </w:r>
      <w:r>
        <w:rPr>
          <w:rFonts w:cstheme="minorHAnsi"/>
          <w:color w:val="000000"/>
        </w:rPr>
        <w:t xml:space="preserve"> </w:t>
      </w:r>
      <w:r w:rsidRPr="00CF1AFC">
        <w:rPr>
          <w:rFonts w:cstheme="minorHAnsi"/>
          <w:color w:val="000000"/>
        </w:rPr>
        <w:t>% of carriers of the FV Leiden mutation and 1–2</w:t>
      </w:r>
      <w:r>
        <w:rPr>
          <w:rFonts w:cstheme="minorHAnsi"/>
          <w:color w:val="000000"/>
        </w:rPr>
        <w:t xml:space="preserve"> </w:t>
      </w:r>
      <w:r w:rsidRPr="00CF1AFC">
        <w:rPr>
          <w:rFonts w:cstheme="minorHAnsi"/>
          <w:color w:val="000000"/>
        </w:rPr>
        <w:t>% of carriers of the FII mutation prothrombin</w:t>
      </w:r>
      <w:r>
        <w:rPr>
          <w:rFonts w:cstheme="minorHAnsi"/>
          <w:color w:val="000000"/>
        </w:rPr>
        <w:t xml:space="preserve">. </w:t>
      </w:r>
      <w:r w:rsidRPr="0067034F">
        <w:rPr>
          <w:rFonts w:cstheme="minorHAnsi"/>
          <w:color w:val="000000"/>
        </w:rPr>
        <w:t xml:space="preserve">Finding a sequence variant increases the risk of clotting and clogging of blood vessels many times over, which in combination with hormonal contraception (HAK) and smoking is further multiplied. This can result in an increased risk of stroke, myocardial infarction, pregnancy problems, thrombosis or embolism. Young women are also at risk. With the gradual improvement of laboratory methods, it would be possible to improve the prevention of TEN by introducing an available screening test, which would point out a significantly increased risk of the disease. The aim of the study was to determine the frequency of two </w:t>
      </w:r>
      <w:proofErr w:type="spellStart"/>
      <w:r w:rsidRPr="0067034F">
        <w:rPr>
          <w:rFonts w:cstheme="minorHAnsi"/>
          <w:color w:val="000000"/>
        </w:rPr>
        <w:t>thrombophilic</w:t>
      </w:r>
      <w:proofErr w:type="spellEnd"/>
      <w:r w:rsidRPr="0067034F">
        <w:rPr>
          <w:rFonts w:cstheme="minorHAnsi"/>
          <w:color w:val="000000"/>
        </w:rPr>
        <w:t xml:space="preserve"> mutations, risk factors (HAK,</w:t>
      </w:r>
      <w:r w:rsidR="0066469B">
        <w:rPr>
          <w:rFonts w:cstheme="minorHAnsi"/>
          <w:color w:val="000000"/>
        </w:rPr>
        <w:t xml:space="preserve"> </w:t>
      </w:r>
      <w:r w:rsidRPr="0067034F">
        <w:rPr>
          <w:rFonts w:cstheme="minorHAnsi"/>
          <w:color w:val="000000"/>
        </w:rPr>
        <w:t>smoking), which are associated with the risk of developing TEN.</w:t>
      </w:r>
      <w:r>
        <w:rPr>
          <w:rFonts w:cstheme="minorHAnsi"/>
        </w:rPr>
        <w:t xml:space="preserve"> </w:t>
      </w:r>
      <w:r w:rsidRPr="00F979CD">
        <w:rPr>
          <w:rFonts w:cstheme="minorHAnsi"/>
        </w:rPr>
        <w:t>Methods:</w:t>
      </w:r>
      <w:r>
        <w:rPr>
          <w:rFonts w:cstheme="minorHAnsi"/>
        </w:rPr>
        <w:t xml:space="preserve"> </w:t>
      </w:r>
      <w:r w:rsidRPr="0037727D">
        <w:rPr>
          <w:rFonts w:eastAsia="Times New Roman" w:cstheme="minorHAnsi"/>
          <w:color w:val="000000"/>
          <w:lang w:eastAsia="cs-CZ"/>
        </w:rPr>
        <w:t>The study was designed as a cross-sectional epidemiological study and 148 women were enrolled. In these women, the presence of TEN risk factors was det</w:t>
      </w:r>
      <w:r>
        <w:rPr>
          <w:rFonts w:eastAsia="Times New Roman" w:cstheme="minorHAnsi"/>
          <w:color w:val="000000"/>
          <w:lang w:eastAsia="cs-CZ"/>
        </w:rPr>
        <w:t>ermined</w:t>
      </w:r>
      <w:r w:rsidRPr="0037727D">
        <w:rPr>
          <w:rFonts w:eastAsia="Times New Roman" w:cstheme="minorHAnsi"/>
          <w:color w:val="000000"/>
          <w:lang w:eastAsia="cs-CZ"/>
        </w:rPr>
        <w:t xml:space="preserve"> and DNA analysis was performed with a </w:t>
      </w:r>
      <w:r>
        <w:rPr>
          <w:rFonts w:eastAsia="Times New Roman" w:cstheme="minorHAnsi"/>
          <w:color w:val="000000"/>
          <w:lang w:eastAsia="cs-CZ"/>
        </w:rPr>
        <w:t xml:space="preserve">digital </w:t>
      </w:r>
      <w:r w:rsidRPr="0037727D">
        <w:rPr>
          <w:rFonts w:eastAsia="Times New Roman" w:cstheme="minorHAnsi"/>
          <w:color w:val="000000"/>
          <w:lang w:eastAsia="cs-CZ"/>
        </w:rPr>
        <w:t>PCR</w:t>
      </w:r>
      <w:r>
        <w:rPr>
          <w:rFonts w:eastAsia="Times New Roman" w:cstheme="minorHAnsi"/>
          <w:color w:val="000000"/>
          <w:lang w:eastAsia="cs-CZ"/>
        </w:rPr>
        <w:t xml:space="preserve"> (</w:t>
      </w:r>
      <w:proofErr w:type="spellStart"/>
      <w:r>
        <w:rPr>
          <w:rFonts w:eastAsia="Times New Roman" w:cstheme="minorHAnsi"/>
          <w:color w:val="000000"/>
          <w:lang w:eastAsia="cs-CZ"/>
        </w:rPr>
        <w:t>ddPCR</w:t>
      </w:r>
      <w:proofErr w:type="spellEnd"/>
      <w:r>
        <w:rPr>
          <w:rFonts w:eastAsia="Times New Roman" w:cstheme="minorHAnsi"/>
          <w:color w:val="000000"/>
          <w:lang w:eastAsia="cs-CZ"/>
        </w:rPr>
        <w:t>)</w:t>
      </w:r>
      <w:r w:rsidRPr="0037727D">
        <w:rPr>
          <w:rFonts w:eastAsia="Times New Roman" w:cstheme="minorHAnsi"/>
          <w:color w:val="000000"/>
          <w:lang w:eastAsia="cs-CZ"/>
        </w:rPr>
        <w:t xml:space="preserve"> instrument.</w:t>
      </w:r>
      <w:r>
        <w:rPr>
          <w:rFonts w:cstheme="minorHAnsi"/>
        </w:rPr>
        <w:t xml:space="preserve"> </w:t>
      </w:r>
      <w:r w:rsidRPr="00F979CD">
        <w:rPr>
          <w:rFonts w:cstheme="minorHAnsi"/>
        </w:rPr>
        <w:t xml:space="preserve">Results: </w:t>
      </w:r>
      <w:r w:rsidRPr="0037727D">
        <w:rPr>
          <w:rFonts w:cstheme="minorHAnsi"/>
        </w:rPr>
        <w:t>Six women were confirmed to have a mutation in the Factor V Leiden gene (4</w:t>
      </w:r>
      <w:r>
        <w:rPr>
          <w:rFonts w:cstheme="minorHAnsi"/>
        </w:rPr>
        <w:t xml:space="preserve"> </w:t>
      </w:r>
      <w:r w:rsidRPr="0037727D">
        <w:rPr>
          <w:rFonts w:cstheme="minorHAnsi"/>
        </w:rPr>
        <w:t xml:space="preserve">% of women) and three women had a mutation in the Factor II </w:t>
      </w:r>
      <w:proofErr w:type="spellStart"/>
      <w:r w:rsidRPr="0037727D">
        <w:rPr>
          <w:rFonts w:cstheme="minorHAnsi"/>
        </w:rPr>
        <w:t>Protrombin</w:t>
      </w:r>
      <w:proofErr w:type="spellEnd"/>
      <w:r>
        <w:rPr>
          <w:rFonts w:cstheme="minorHAnsi"/>
        </w:rPr>
        <w:t xml:space="preserve"> gene</w:t>
      </w:r>
      <w:r w:rsidRPr="0037727D">
        <w:rPr>
          <w:rFonts w:cstheme="minorHAnsi"/>
        </w:rPr>
        <w:t xml:space="preserve"> (2</w:t>
      </w:r>
      <w:r>
        <w:rPr>
          <w:rFonts w:cstheme="minorHAnsi"/>
        </w:rPr>
        <w:t xml:space="preserve"> </w:t>
      </w:r>
      <w:r w:rsidRPr="0037727D">
        <w:rPr>
          <w:rFonts w:cstheme="minorHAnsi"/>
        </w:rPr>
        <w:t xml:space="preserve">% of women). Two of these women took HAK before the diagnosis and one </w:t>
      </w:r>
      <w:r>
        <w:rPr>
          <w:rFonts w:cstheme="minorHAnsi"/>
        </w:rPr>
        <w:t>from</w:t>
      </w:r>
      <w:r w:rsidRPr="0037727D">
        <w:rPr>
          <w:rFonts w:cstheme="minorHAnsi"/>
        </w:rPr>
        <w:t xml:space="preserve"> nine women smoked</w:t>
      </w:r>
      <w:r>
        <w:rPr>
          <w:rFonts w:cstheme="minorHAnsi"/>
        </w:rPr>
        <w:t xml:space="preserve">. </w:t>
      </w:r>
      <w:r w:rsidRPr="00F979CD">
        <w:rPr>
          <w:rFonts w:cstheme="minorHAnsi"/>
        </w:rPr>
        <w:t>Conclusion:</w:t>
      </w:r>
      <w:r>
        <w:rPr>
          <w:rFonts w:cstheme="minorHAnsi"/>
        </w:rPr>
        <w:t xml:space="preserve"> </w:t>
      </w:r>
      <w:r w:rsidRPr="00DB050D">
        <w:rPr>
          <w:rFonts w:eastAsia="Times New Roman" w:cstheme="minorHAnsi"/>
          <w:color w:val="000000"/>
          <w:lang w:eastAsia="cs-CZ"/>
        </w:rPr>
        <w:t xml:space="preserve">The applicability of </w:t>
      </w:r>
      <w:proofErr w:type="spellStart"/>
      <w:r w:rsidRPr="00DB050D">
        <w:rPr>
          <w:rFonts w:eastAsia="Times New Roman" w:cstheme="minorHAnsi"/>
          <w:color w:val="000000"/>
          <w:lang w:eastAsia="cs-CZ"/>
        </w:rPr>
        <w:t>d</w:t>
      </w:r>
      <w:r>
        <w:rPr>
          <w:rFonts w:eastAsia="Times New Roman" w:cstheme="minorHAnsi"/>
          <w:color w:val="000000"/>
          <w:lang w:eastAsia="cs-CZ"/>
        </w:rPr>
        <w:t>d</w:t>
      </w:r>
      <w:r w:rsidRPr="00DB050D">
        <w:rPr>
          <w:rFonts w:eastAsia="Times New Roman" w:cstheme="minorHAnsi"/>
          <w:color w:val="000000"/>
          <w:lang w:eastAsia="cs-CZ"/>
        </w:rPr>
        <w:t>PCR</w:t>
      </w:r>
      <w:proofErr w:type="spellEnd"/>
      <w:r w:rsidRPr="00DB050D">
        <w:rPr>
          <w:rFonts w:eastAsia="Times New Roman" w:cstheme="minorHAnsi"/>
          <w:color w:val="000000"/>
          <w:lang w:eastAsia="cs-CZ"/>
        </w:rPr>
        <w:t xml:space="preserve"> analyzes and the determination of the frequency of occurrence of TEN risk factors in a population of young women may serve to better detect the possible future occurrence of TEN in women. Thus, the prevention of this serious disease can be significantly improved.</w:t>
      </w:r>
      <w:r w:rsidR="0010532C" w:rsidRPr="0010532C">
        <w:rPr>
          <w:noProof/>
        </w:rPr>
        <w:t xml:space="preserve"> </w:t>
      </w:r>
    </w:p>
    <w:p w14:paraId="4F6750B3" w14:textId="71C6A92E" w:rsidR="00AE3E37" w:rsidRDefault="0010532C">
      <w:pPr>
        <w:pStyle w:val="Zkladntext"/>
        <w:spacing w:before="90" w:line="280" w:lineRule="auto"/>
        <w:ind w:left="100"/>
        <w:jc w:val="both"/>
      </w:pPr>
      <w:r w:rsidRPr="00A14148">
        <w:rPr>
          <w:noProof/>
        </w:rPr>
        <w:drawing>
          <wp:inline distT="0" distB="0" distL="0" distR="0" wp14:anchorId="458F1E33" wp14:editId="0D0E0B03">
            <wp:extent cx="2826293" cy="1441450"/>
            <wp:effectExtent l="0" t="0" r="0" b="635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46387" cy="1451698"/>
                    </a:xfrm>
                    <a:prstGeom prst="rect">
                      <a:avLst/>
                    </a:prstGeom>
                  </pic:spPr>
                </pic:pic>
              </a:graphicData>
            </a:graphic>
          </wp:inline>
        </w:drawing>
      </w:r>
    </w:p>
    <w:p w14:paraId="781634F6" w14:textId="7B699552" w:rsidR="0010532C" w:rsidRDefault="0010532C" w:rsidP="0010532C">
      <w:pPr>
        <w:pStyle w:val="Nadpis3"/>
        <w:spacing w:before="74"/>
        <w:rPr>
          <w:rFonts w:ascii="Tw Cen MT" w:eastAsia="Tw Cen MT" w:hAnsi="Tw Cen MT" w:cstheme="minorHAnsi"/>
          <w:color w:val="000000"/>
          <w:sz w:val="18"/>
          <w:szCs w:val="18"/>
        </w:rPr>
      </w:pPr>
      <w:r w:rsidRPr="00B77764">
        <w:rPr>
          <w:rFonts w:ascii="Tw Cen MT" w:eastAsia="Tw Cen MT" w:hAnsi="Tw Cen MT" w:cstheme="minorHAnsi"/>
          <w:color w:val="000000"/>
          <w:sz w:val="18"/>
          <w:szCs w:val="18"/>
        </w:rPr>
        <w:t xml:space="preserve">Figure </w:t>
      </w:r>
      <w:r>
        <w:rPr>
          <w:rFonts w:ascii="Tw Cen MT" w:eastAsia="Tw Cen MT" w:hAnsi="Tw Cen MT" w:cstheme="minorHAnsi"/>
          <w:color w:val="000000"/>
          <w:sz w:val="18"/>
          <w:szCs w:val="18"/>
        </w:rPr>
        <w:t>1</w:t>
      </w:r>
      <w:r w:rsidRPr="00B77764">
        <w:rPr>
          <w:rFonts w:ascii="Tw Cen MT" w:eastAsia="Tw Cen MT" w:hAnsi="Tw Cen MT" w:cstheme="minorHAnsi"/>
          <w:color w:val="000000"/>
          <w:sz w:val="18"/>
          <w:szCs w:val="18"/>
        </w:rPr>
        <w:t xml:space="preserve">: </w:t>
      </w:r>
      <w:r>
        <w:rPr>
          <w:rFonts w:ascii="Tw Cen MT" w:eastAsia="Tw Cen MT" w:hAnsi="Tw Cen MT" w:cstheme="minorHAnsi"/>
          <w:color w:val="000000"/>
          <w:sz w:val="18"/>
          <w:szCs w:val="18"/>
        </w:rPr>
        <w:t>F</w:t>
      </w:r>
      <w:r w:rsidRPr="00B77764">
        <w:rPr>
          <w:rFonts w:ascii="Tw Cen MT" w:eastAsia="Tw Cen MT" w:hAnsi="Tw Cen MT" w:cstheme="minorHAnsi"/>
          <w:color w:val="000000"/>
          <w:sz w:val="18"/>
          <w:szCs w:val="18"/>
        </w:rPr>
        <w:t>ormation of thrombosis</w:t>
      </w:r>
    </w:p>
    <w:p w14:paraId="1C92739C" w14:textId="77777777" w:rsidR="008A486B" w:rsidRPr="00B77764" w:rsidRDefault="008A486B" w:rsidP="0010532C">
      <w:pPr>
        <w:pStyle w:val="Nadpis3"/>
        <w:spacing w:before="74"/>
        <w:rPr>
          <w:rFonts w:ascii="Tw Cen MT" w:eastAsia="Tw Cen MT" w:hAnsi="Tw Cen MT" w:cstheme="minorHAnsi"/>
          <w:color w:val="000000"/>
          <w:sz w:val="18"/>
          <w:szCs w:val="18"/>
        </w:rPr>
      </w:pPr>
    </w:p>
    <w:p w14:paraId="290E50AD" w14:textId="099CA272" w:rsidR="00AE3E37" w:rsidRDefault="00A9710C" w:rsidP="001F77EC">
      <w:pPr>
        <w:pStyle w:val="Nadpis3"/>
        <w:spacing w:before="74"/>
        <w:rPr>
          <w:color w:val="C00000"/>
        </w:rPr>
      </w:pPr>
      <w:r>
        <w:rPr>
          <w:b w:val="0"/>
        </w:rPr>
        <w:br w:type="column"/>
      </w:r>
      <w:r w:rsidRPr="0010532C">
        <w:rPr>
          <w:color w:val="C00000"/>
        </w:rPr>
        <w:t>Image</w:t>
      </w:r>
      <w:r w:rsidR="00B153DA" w:rsidRPr="0010532C">
        <w:rPr>
          <w:color w:val="C00000"/>
        </w:rPr>
        <w:t>s</w:t>
      </w:r>
    </w:p>
    <w:p w14:paraId="5910B432" w14:textId="77777777" w:rsidR="001F77EC" w:rsidRPr="0010532C" w:rsidRDefault="001F77EC" w:rsidP="0010532C">
      <w:pPr>
        <w:pStyle w:val="Nadpis3"/>
        <w:spacing w:before="74"/>
        <w:ind w:left="142"/>
        <w:rPr>
          <w:b w:val="0"/>
        </w:rPr>
      </w:pPr>
    </w:p>
    <w:p w14:paraId="327AEBE1" w14:textId="77777777" w:rsidR="001F77EC" w:rsidRDefault="00B153DA" w:rsidP="00B77764">
      <w:pPr>
        <w:pStyle w:val="Zkladntext"/>
        <w:spacing w:before="2"/>
        <w:ind w:left="142"/>
        <w:rPr>
          <w:rFonts w:cstheme="minorHAnsi"/>
          <w:b/>
          <w:bCs/>
          <w:color w:val="000000"/>
        </w:rPr>
      </w:pPr>
      <w:r w:rsidRPr="00B153DA">
        <w:rPr>
          <w:noProof/>
        </w:rPr>
        <w:drawing>
          <wp:inline distT="0" distB="0" distL="0" distR="0" wp14:anchorId="1B68E6A1" wp14:editId="10B61050">
            <wp:extent cx="3165475" cy="1754505"/>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754505"/>
                    </a:xfrm>
                    <a:prstGeom prst="rect">
                      <a:avLst/>
                    </a:prstGeom>
                    <a:noFill/>
                    <a:ln>
                      <a:noFill/>
                    </a:ln>
                  </pic:spPr>
                </pic:pic>
              </a:graphicData>
            </a:graphic>
          </wp:inline>
        </w:drawing>
      </w:r>
    </w:p>
    <w:p w14:paraId="3795F239" w14:textId="730B6E0E" w:rsidR="00B77764" w:rsidRPr="00B77764" w:rsidRDefault="00B77764" w:rsidP="00B77764">
      <w:pPr>
        <w:pStyle w:val="Zkladntext"/>
        <w:spacing w:before="2"/>
        <w:ind w:left="142"/>
        <w:rPr>
          <w:rFonts w:ascii="Arial" w:eastAsia="Arial" w:hAnsi="Arial" w:cs="Arial"/>
          <w:b/>
          <w:bCs/>
          <w:color w:val="BF5A14"/>
          <w:sz w:val="20"/>
          <w:szCs w:val="20"/>
        </w:rPr>
      </w:pPr>
      <w:r w:rsidRPr="00B77764">
        <w:rPr>
          <w:rFonts w:cstheme="minorHAnsi"/>
          <w:b/>
          <w:bCs/>
          <w:color w:val="000000"/>
        </w:rPr>
        <w:t xml:space="preserve">Figure </w:t>
      </w:r>
      <w:r w:rsidR="0010532C">
        <w:rPr>
          <w:rFonts w:cstheme="minorHAnsi"/>
          <w:b/>
          <w:bCs/>
          <w:color w:val="000000"/>
        </w:rPr>
        <w:t>2</w:t>
      </w:r>
      <w:r w:rsidRPr="00B77764">
        <w:rPr>
          <w:rFonts w:cstheme="minorHAnsi"/>
          <w:b/>
          <w:bCs/>
          <w:color w:val="000000"/>
        </w:rPr>
        <w:t xml:space="preserve">: </w:t>
      </w:r>
      <w:r>
        <w:rPr>
          <w:rFonts w:cstheme="minorHAnsi"/>
          <w:b/>
          <w:bCs/>
          <w:color w:val="000000"/>
        </w:rPr>
        <w:t>Positive probands</w:t>
      </w:r>
    </w:p>
    <w:p w14:paraId="102BC6CF" w14:textId="77777777" w:rsidR="001F77EC" w:rsidRDefault="001F77EC" w:rsidP="005973B9">
      <w:pPr>
        <w:spacing w:line="204" w:lineRule="exact"/>
        <w:rPr>
          <w:rFonts w:ascii="Arial"/>
          <w:b/>
          <w:color w:val="C00000"/>
          <w:sz w:val="20"/>
        </w:rPr>
      </w:pPr>
    </w:p>
    <w:p w14:paraId="195C8F6A" w14:textId="77777777" w:rsidR="001F77EC" w:rsidRDefault="001F77EC" w:rsidP="005973B9">
      <w:pPr>
        <w:spacing w:line="204" w:lineRule="exact"/>
        <w:rPr>
          <w:rFonts w:ascii="Arial"/>
          <w:b/>
          <w:color w:val="C00000"/>
          <w:sz w:val="20"/>
        </w:rPr>
      </w:pPr>
    </w:p>
    <w:p w14:paraId="25D1DC1D" w14:textId="77777777" w:rsidR="001F77EC" w:rsidRDefault="001F77EC" w:rsidP="005973B9">
      <w:pPr>
        <w:spacing w:line="204" w:lineRule="exact"/>
        <w:rPr>
          <w:rFonts w:ascii="Arial"/>
          <w:b/>
          <w:color w:val="C00000"/>
          <w:sz w:val="20"/>
        </w:rPr>
      </w:pPr>
    </w:p>
    <w:p w14:paraId="09CC52A3" w14:textId="77777777" w:rsidR="001F77EC" w:rsidRDefault="001F77EC" w:rsidP="005973B9">
      <w:pPr>
        <w:spacing w:line="204" w:lineRule="exact"/>
        <w:rPr>
          <w:rFonts w:ascii="Arial"/>
          <w:b/>
          <w:color w:val="C00000"/>
          <w:sz w:val="20"/>
        </w:rPr>
      </w:pPr>
    </w:p>
    <w:p w14:paraId="32155D14" w14:textId="77777777" w:rsidR="001F77EC" w:rsidRDefault="001F77EC" w:rsidP="005973B9">
      <w:pPr>
        <w:spacing w:line="204" w:lineRule="exact"/>
        <w:rPr>
          <w:rFonts w:ascii="Arial"/>
          <w:b/>
          <w:color w:val="C00000"/>
          <w:sz w:val="20"/>
        </w:rPr>
      </w:pPr>
    </w:p>
    <w:p w14:paraId="2539D351" w14:textId="7E8AE8E4" w:rsidR="005973B9" w:rsidRPr="0010532C" w:rsidRDefault="005973B9" w:rsidP="005973B9">
      <w:pPr>
        <w:spacing w:line="204" w:lineRule="exact"/>
        <w:rPr>
          <w:rFonts w:ascii="Arial"/>
          <w:b/>
          <w:color w:val="C00000"/>
          <w:sz w:val="20"/>
        </w:rPr>
      </w:pPr>
      <w:r w:rsidRPr="0010532C">
        <w:rPr>
          <w:rFonts w:ascii="Arial"/>
          <w:b/>
          <w:color w:val="C00000"/>
          <w:sz w:val="20"/>
        </w:rPr>
        <w:t>Recent Publications</w:t>
      </w:r>
    </w:p>
    <w:p w14:paraId="27C04C96" w14:textId="723759D3" w:rsidR="007844D1" w:rsidRDefault="007844D1" w:rsidP="007844D1">
      <w:pPr>
        <w:pStyle w:val="Odstavecseseznamem"/>
        <w:numPr>
          <w:ilvl w:val="0"/>
          <w:numId w:val="3"/>
        </w:numPr>
        <w:tabs>
          <w:tab w:val="left" w:pos="384"/>
        </w:tabs>
        <w:spacing w:line="216" w:lineRule="exact"/>
        <w:ind w:right="137" w:hanging="283"/>
        <w:rPr>
          <w:sz w:val="18"/>
        </w:rPr>
      </w:pPr>
      <w:r w:rsidRPr="007844D1">
        <w:rPr>
          <w:sz w:val="18"/>
        </w:rPr>
        <w:t>RENNER, Wilfried,</w:t>
      </w:r>
      <w:r>
        <w:rPr>
          <w:sz w:val="18"/>
        </w:rPr>
        <w:t xml:space="preserve"> </w:t>
      </w:r>
      <w:r w:rsidRPr="007844D1">
        <w:rPr>
          <w:sz w:val="18"/>
        </w:rPr>
        <w:t>KÖPPEL</w:t>
      </w:r>
      <w:r>
        <w:rPr>
          <w:sz w:val="18"/>
        </w:rPr>
        <w:t xml:space="preserve">, </w:t>
      </w:r>
      <w:r w:rsidRPr="007844D1">
        <w:rPr>
          <w:sz w:val="18"/>
        </w:rPr>
        <w:t>Herwig, HOFFMANN</w:t>
      </w:r>
      <w:r>
        <w:rPr>
          <w:sz w:val="18"/>
        </w:rPr>
        <w:t xml:space="preserve">, </w:t>
      </w:r>
      <w:r w:rsidRPr="007844D1">
        <w:rPr>
          <w:sz w:val="18"/>
        </w:rPr>
        <w:t>Christine</w:t>
      </w:r>
      <w:r>
        <w:rPr>
          <w:sz w:val="18"/>
        </w:rPr>
        <w:t xml:space="preserve"> et al. </w:t>
      </w:r>
      <w:r w:rsidRPr="007844D1">
        <w:rPr>
          <w:sz w:val="18"/>
        </w:rPr>
        <w:t xml:space="preserve">Prothrombin G20210A, Factor V Leiden, and Factor XIII Val34Leu. Thrombosis Research [online]. 2000, 99(1), 35-39 [cit. 2021-6-23]. ISSN 00493848. </w:t>
      </w:r>
      <w:r>
        <w:rPr>
          <w:sz w:val="18"/>
        </w:rPr>
        <w:t>Available from</w:t>
      </w:r>
      <w:r w:rsidRPr="007844D1">
        <w:rPr>
          <w:sz w:val="18"/>
        </w:rPr>
        <w:t>: doi:10.1016/S0049-3848(00)00219-X</w:t>
      </w:r>
      <w:r>
        <w:rPr>
          <w:sz w:val="18"/>
        </w:rPr>
        <w:t xml:space="preserve"> </w:t>
      </w:r>
    </w:p>
    <w:p w14:paraId="1A7A0482" w14:textId="71F2D1E9" w:rsidR="00AE3E37" w:rsidRDefault="007844D1" w:rsidP="007844D1">
      <w:pPr>
        <w:pStyle w:val="Odstavecseseznamem"/>
        <w:numPr>
          <w:ilvl w:val="0"/>
          <w:numId w:val="3"/>
        </w:numPr>
        <w:tabs>
          <w:tab w:val="left" w:pos="384"/>
        </w:tabs>
        <w:spacing w:line="216" w:lineRule="exact"/>
        <w:ind w:right="137" w:hanging="283"/>
        <w:rPr>
          <w:sz w:val="18"/>
        </w:rPr>
      </w:pPr>
      <w:r w:rsidRPr="007844D1">
        <w:rPr>
          <w:sz w:val="18"/>
        </w:rPr>
        <w:t>MARIK, Paul E.,</w:t>
      </w:r>
      <w:r>
        <w:rPr>
          <w:sz w:val="18"/>
        </w:rPr>
        <w:t xml:space="preserve"> </w:t>
      </w:r>
      <w:r w:rsidRPr="007844D1">
        <w:rPr>
          <w:sz w:val="18"/>
        </w:rPr>
        <w:t>PLANTE,</w:t>
      </w:r>
      <w:r>
        <w:rPr>
          <w:sz w:val="18"/>
        </w:rPr>
        <w:t xml:space="preserve"> </w:t>
      </w:r>
      <w:r w:rsidRPr="007844D1">
        <w:rPr>
          <w:sz w:val="18"/>
        </w:rPr>
        <w:t>Lauren A.</w:t>
      </w:r>
      <w:r>
        <w:rPr>
          <w:sz w:val="18"/>
        </w:rPr>
        <w:t xml:space="preserve">, </w:t>
      </w:r>
      <w:r w:rsidRPr="007844D1">
        <w:rPr>
          <w:sz w:val="18"/>
        </w:rPr>
        <w:t>HOFFMANN</w:t>
      </w:r>
      <w:r>
        <w:rPr>
          <w:sz w:val="18"/>
        </w:rPr>
        <w:t xml:space="preserve">, </w:t>
      </w:r>
      <w:r w:rsidRPr="007844D1">
        <w:rPr>
          <w:sz w:val="18"/>
        </w:rPr>
        <w:t xml:space="preserve">Christine, </w:t>
      </w:r>
      <w:r>
        <w:rPr>
          <w:sz w:val="18"/>
        </w:rPr>
        <w:t xml:space="preserve">et al. </w:t>
      </w:r>
      <w:r w:rsidRPr="007844D1">
        <w:rPr>
          <w:sz w:val="18"/>
        </w:rPr>
        <w:t xml:space="preserve">Venous Thromboembolic Disease and Pregnancy. New England Journal of Medicine [online]. 2008, 359(19), 2025-2033 [cit. 2021-6-23]. ISSN 0028-4793. </w:t>
      </w:r>
      <w:r>
        <w:rPr>
          <w:sz w:val="18"/>
        </w:rPr>
        <w:t>Available from</w:t>
      </w:r>
      <w:r w:rsidRPr="007844D1">
        <w:rPr>
          <w:sz w:val="18"/>
        </w:rPr>
        <w:t>: doi:10.1056/NEJMra0707993</w:t>
      </w:r>
    </w:p>
    <w:p w14:paraId="3E9F4C91" w14:textId="4032A5D2" w:rsidR="007844D1" w:rsidRDefault="007844D1" w:rsidP="007844D1">
      <w:pPr>
        <w:pStyle w:val="Odstavecseseznamem"/>
        <w:widowControl/>
        <w:numPr>
          <w:ilvl w:val="0"/>
          <w:numId w:val="3"/>
        </w:numPr>
        <w:shd w:val="clear" w:color="auto" w:fill="FFFFFF"/>
        <w:ind w:right="-225"/>
        <w:rPr>
          <w:sz w:val="18"/>
        </w:rPr>
      </w:pPr>
      <w:r w:rsidRPr="007844D1">
        <w:rPr>
          <w:sz w:val="18"/>
        </w:rPr>
        <w:t xml:space="preserve">STREIFF, Michael B., BOCKENSTEDT, </w:t>
      </w:r>
      <w:r w:rsidR="00CE5E6F" w:rsidRPr="007844D1">
        <w:rPr>
          <w:sz w:val="18"/>
        </w:rPr>
        <w:t>Paula L.</w:t>
      </w:r>
      <w:r w:rsidR="00CE5E6F">
        <w:rPr>
          <w:sz w:val="18"/>
        </w:rPr>
        <w:t xml:space="preserve">, </w:t>
      </w:r>
      <w:r w:rsidRPr="007844D1">
        <w:rPr>
          <w:sz w:val="18"/>
        </w:rPr>
        <w:t>CATALAND,</w:t>
      </w:r>
      <w:r w:rsidR="00CE5E6F">
        <w:rPr>
          <w:sz w:val="18"/>
        </w:rPr>
        <w:t xml:space="preserve"> </w:t>
      </w:r>
      <w:r w:rsidR="00CE5E6F" w:rsidRPr="007844D1">
        <w:rPr>
          <w:sz w:val="18"/>
        </w:rPr>
        <w:t xml:space="preserve">Spero R. </w:t>
      </w:r>
      <w:r w:rsidRPr="007844D1">
        <w:rPr>
          <w:sz w:val="18"/>
        </w:rPr>
        <w:t xml:space="preserve"> et a</w:t>
      </w:r>
      <w:r w:rsidR="00CE5E6F">
        <w:rPr>
          <w:sz w:val="18"/>
        </w:rPr>
        <w:t>l</w:t>
      </w:r>
      <w:r w:rsidRPr="007844D1">
        <w:rPr>
          <w:sz w:val="18"/>
        </w:rPr>
        <w:t>.</w:t>
      </w:r>
      <w:r w:rsidR="00CE5E6F">
        <w:rPr>
          <w:sz w:val="18"/>
        </w:rPr>
        <w:t xml:space="preserve"> </w:t>
      </w:r>
      <w:r w:rsidRPr="007844D1">
        <w:rPr>
          <w:sz w:val="18"/>
        </w:rPr>
        <w:t xml:space="preserve">Venous Thromboembolic Disease. Journal of the National Comprehensive Cancer Network [online]. 2011, 9(7), 714-777 [cit. 2021-6-23]. ISSN 1540-1405. </w:t>
      </w:r>
      <w:r>
        <w:rPr>
          <w:sz w:val="18"/>
        </w:rPr>
        <w:t>Available from</w:t>
      </w:r>
      <w:r w:rsidRPr="007844D1">
        <w:rPr>
          <w:sz w:val="18"/>
        </w:rPr>
        <w:t>: doi:10.6004/jnccn.2011.0062</w:t>
      </w:r>
    </w:p>
    <w:p w14:paraId="1466508C" w14:textId="5D7DA8D0" w:rsidR="003B208A" w:rsidRDefault="003B208A" w:rsidP="007844D1">
      <w:pPr>
        <w:pStyle w:val="Odstavecseseznamem"/>
        <w:widowControl/>
        <w:numPr>
          <w:ilvl w:val="0"/>
          <w:numId w:val="3"/>
        </w:numPr>
        <w:shd w:val="clear" w:color="auto" w:fill="FFFFFF"/>
        <w:ind w:right="-225"/>
        <w:rPr>
          <w:sz w:val="18"/>
        </w:rPr>
      </w:pPr>
      <w:r w:rsidRPr="003B208A">
        <w:rPr>
          <w:sz w:val="18"/>
        </w:rPr>
        <w:t xml:space="preserve">VAVRINKOVA, </w:t>
      </w:r>
      <w:proofErr w:type="spellStart"/>
      <w:r w:rsidRPr="003B208A">
        <w:rPr>
          <w:sz w:val="18"/>
        </w:rPr>
        <w:t>Blanka</w:t>
      </w:r>
      <w:proofErr w:type="spellEnd"/>
      <w:r w:rsidRPr="003B208A">
        <w:rPr>
          <w:sz w:val="18"/>
        </w:rPr>
        <w:t>, BINDER</w:t>
      </w:r>
      <w:r>
        <w:rPr>
          <w:sz w:val="18"/>
        </w:rPr>
        <w:t xml:space="preserve">, </w:t>
      </w:r>
      <w:r w:rsidRPr="003B208A">
        <w:rPr>
          <w:sz w:val="18"/>
        </w:rPr>
        <w:t>Tomas,</w:t>
      </w:r>
      <w:r>
        <w:rPr>
          <w:sz w:val="18"/>
        </w:rPr>
        <w:t xml:space="preserve"> </w:t>
      </w:r>
      <w:r w:rsidRPr="003B208A">
        <w:rPr>
          <w:sz w:val="18"/>
        </w:rPr>
        <w:t>HADACOVA,</w:t>
      </w:r>
      <w:r>
        <w:rPr>
          <w:sz w:val="18"/>
        </w:rPr>
        <w:t xml:space="preserve"> Ivana</w:t>
      </w:r>
      <w:r w:rsidRPr="003B208A">
        <w:rPr>
          <w:sz w:val="18"/>
        </w:rPr>
        <w:t xml:space="preserve"> et al. Does asymptomatic carriage of FV Leiden and FII prothrombin mutations in heterozygous configuration pose an increased risk of </w:t>
      </w:r>
      <w:proofErr w:type="spellStart"/>
      <w:r w:rsidRPr="003B208A">
        <w:rPr>
          <w:sz w:val="18"/>
        </w:rPr>
        <w:t>thrombembolic</w:t>
      </w:r>
      <w:proofErr w:type="spellEnd"/>
      <w:r w:rsidRPr="003B208A">
        <w:rPr>
          <w:sz w:val="18"/>
        </w:rPr>
        <w:t xml:space="preserve"> complications in the course of pregnancy, labor and puerperium? Biomedical Papers [online]. 2014, 158(2), 238-241 [cit. 2021-6-23]. ISSN 12138118. </w:t>
      </w:r>
      <w:r>
        <w:rPr>
          <w:sz w:val="18"/>
        </w:rPr>
        <w:t>Available from</w:t>
      </w:r>
      <w:r w:rsidRPr="003B208A">
        <w:rPr>
          <w:sz w:val="18"/>
        </w:rPr>
        <w:t>: doi:10.5507/bp.2012.070</w:t>
      </w:r>
    </w:p>
    <w:p w14:paraId="38C22DEC" w14:textId="19B32096" w:rsidR="003B208A" w:rsidRDefault="003B208A" w:rsidP="007844D1">
      <w:pPr>
        <w:pStyle w:val="Odstavecseseznamem"/>
        <w:widowControl/>
        <w:numPr>
          <w:ilvl w:val="0"/>
          <w:numId w:val="3"/>
        </w:numPr>
        <w:shd w:val="clear" w:color="auto" w:fill="FFFFFF"/>
        <w:ind w:right="-225"/>
        <w:rPr>
          <w:sz w:val="18"/>
        </w:rPr>
      </w:pPr>
      <w:r w:rsidRPr="003B208A">
        <w:rPr>
          <w:sz w:val="18"/>
        </w:rPr>
        <w:t>LUCOTTE, Gérard,</w:t>
      </w:r>
      <w:r>
        <w:rPr>
          <w:sz w:val="18"/>
        </w:rPr>
        <w:t xml:space="preserve"> </w:t>
      </w:r>
      <w:r w:rsidRPr="003B208A">
        <w:rPr>
          <w:sz w:val="18"/>
        </w:rPr>
        <w:t>MERCIER</w:t>
      </w:r>
      <w:r>
        <w:rPr>
          <w:sz w:val="18"/>
        </w:rPr>
        <w:t xml:space="preserve">, </w:t>
      </w:r>
      <w:proofErr w:type="spellStart"/>
      <w:r w:rsidRPr="003B208A">
        <w:rPr>
          <w:sz w:val="18"/>
        </w:rPr>
        <w:t>Géraldine</w:t>
      </w:r>
      <w:proofErr w:type="spellEnd"/>
      <w:r w:rsidRPr="003B208A">
        <w:rPr>
          <w:sz w:val="18"/>
        </w:rPr>
        <w:t>, HADACOVA</w:t>
      </w:r>
      <w:r>
        <w:rPr>
          <w:sz w:val="18"/>
        </w:rPr>
        <w:t>, Ivana</w:t>
      </w:r>
      <w:r w:rsidRPr="003B208A">
        <w:rPr>
          <w:sz w:val="18"/>
        </w:rPr>
        <w:t xml:space="preserve">, et al. Population Genetics of Factor V Leiden in Europe. Blood Cells, Molecules, and Diseases [online]. 2001, 27(2), 362-367 [cit. 2021-6-23]. ISSN 10799796. </w:t>
      </w:r>
      <w:proofErr w:type="spellStart"/>
      <w:r w:rsidRPr="003B208A">
        <w:rPr>
          <w:sz w:val="18"/>
        </w:rPr>
        <w:t>Dostupné</w:t>
      </w:r>
      <w:proofErr w:type="spellEnd"/>
      <w:r w:rsidRPr="003B208A">
        <w:rPr>
          <w:sz w:val="18"/>
        </w:rPr>
        <w:t xml:space="preserve"> z: doi:10.1006/bcmd.2001.0388</w:t>
      </w:r>
    </w:p>
    <w:p w14:paraId="0FF44ADD" w14:textId="77777777" w:rsidR="007844D1" w:rsidRPr="007844D1" w:rsidRDefault="007844D1" w:rsidP="007844D1">
      <w:pPr>
        <w:pStyle w:val="Odstavecseseznamem"/>
        <w:widowControl/>
        <w:numPr>
          <w:ilvl w:val="0"/>
          <w:numId w:val="3"/>
        </w:numPr>
        <w:pBdr>
          <w:bottom w:val="single" w:sz="6" w:space="1" w:color="auto"/>
        </w:pBdr>
        <w:jc w:val="center"/>
        <w:rPr>
          <w:rFonts w:ascii="Arial" w:eastAsia="Times New Roman" w:hAnsi="Arial" w:cs="Arial"/>
          <w:vanish/>
          <w:sz w:val="16"/>
          <w:szCs w:val="16"/>
          <w:lang w:val="cs-CZ" w:eastAsia="cs-CZ"/>
        </w:rPr>
      </w:pPr>
      <w:r w:rsidRPr="007844D1">
        <w:rPr>
          <w:rFonts w:ascii="Arial" w:eastAsia="Times New Roman" w:hAnsi="Arial" w:cs="Arial"/>
          <w:vanish/>
          <w:sz w:val="16"/>
          <w:szCs w:val="16"/>
          <w:lang w:val="cs-CZ" w:eastAsia="cs-CZ"/>
        </w:rPr>
        <w:t>Začátek formuláře</w:t>
      </w:r>
    </w:p>
    <w:p w14:paraId="560BBB94" w14:textId="09656ED1" w:rsidR="00AE3E37" w:rsidRPr="0010532C" w:rsidRDefault="00AE3E37" w:rsidP="0010532C">
      <w:pPr>
        <w:pStyle w:val="Odstavecseseznamem"/>
        <w:widowControl/>
        <w:numPr>
          <w:ilvl w:val="0"/>
          <w:numId w:val="3"/>
        </w:numPr>
        <w:pBdr>
          <w:bottom w:val="single" w:sz="6" w:space="1" w:color="auto"/>
        </w:pBdr>
        <w:sectPr w:rsidR="00AE3E37" w:rsidRPr="0010532C" w:rsidSect="008E5477">
          <w:type w:val="continuous"/>
          <w:pgSz w:w="11910" w:h="16840"/>
          <w:pgMar w:top="995" w:right="600" w:bottom="840" w:left="620" w:header="720" w:footer="720" w:gutter="0"/>
          <w:cols w:num="2" w:space="720" w:equalWidth="0">
            <w:col w:w="5214" w:space="138"/>
            <w:col w:w="5338"/>
          </w:cols>
        </w:sectPr>
      </w:pPr>
    </w:p>
    <w:p w14:paraId="6CD80C6F" w14:textId="07484AC8" w:rsidR="00AE3E37" w:rsidRPr="001F77EC" w:rsidRDefault="008A486B" w:rsidP="001F77EC">
      <w:pPr>
        <w:pStyle w:val="Zkladntext"/>
        <w:tabs>
          <w:tab w:val="left" w:pos="8976"/>
        </w:tabs>
        <w:rPr>
          <w:rFonts w:ascii="Calibri"/>
          <w:sz w:val="20"/>
        </w:rPr>
      </w:pPr>
      <w:r>
        <w:rPr>
          <w:rFonts w:ascii="Calibri"/>
          <w:noProof/>
          <w:sz w:val="20"/>
        </w:rPr>
        <w:lastRenderedPageBreak/>
        <w:drawing>
          <wp:inline distT="0" distB="0" distL="0" distR="0" wp14:anchorId="007377D9" wp14:editId="644596D0">
            <wp:extent cx="829310" cy="1085215"/>
            <wp:effectExtent l="0" t="0" r="8890" b="63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9310" cy="1085215"/>
                    </a:xfrm>
                    <a:prstGeom prst="rect">
                      <a:avLst/>
                    </a:prstGeom>
                    <a:noFill/>
                  </pic:spPr>
                </pic:pic>
              </a:graphicData>
            </a:graphic>
          </wp:inline>
        </w:drawing>
      </w:r>
      <w:r w:rsidR="0010532C">
        <w:rPr>
          <w:rFonts w:ascii="Calibri"/>
          <w:sz w:val="20"/>
        </w:rPr>
        <w:tab/>
      </w:r>
      <w:r w:rsidR="0010532C">
        <w:rPr>
          <w:rFonts w:ascii="Calibri"/>
          <w:noProof/>
          <w:sz w:val="20"/>
        </w:rPr>
        <w:drawing>
          <wp:inline distT="0" distB="0" distL="0" distR="0" wp14:anchorId="0296E1AF" wp14:editId="3C66C099">
            <wp:extent cx="609600" cy="60960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14:paraId="11556D16" w14:textId="77777777" w:rsidR="008A486B" w:rsidRPr="008A486B" w:rsidRDefault="008A486B" w:rsidP="008A486B">
      <w:pPr>
        <w:spacing w:before="41" w:line="154" w:lineRule="exact"/>
        <w:ind w:left="213" w:right="231"/>
        <w:jc w:val="both"/>
        <w:rPr>
          <w:rFonts w:ascii="Arial"/>
          <w:sz w:val="14"/>
        </w:rPr>
      </w:pPr>
    </w:p>
    <w:p w14:paraId="3761DE29" w14:textId="507683B7" w:rsidR="00AE3E37" w:rsidRDefault="008A486B" w:rsidP="008A486B">
      <w:pPr>
        <w:spacing w:before="41" w:line="154" w:lineRule="exact"/>
        <w:ind w:left="213" w:right="231"/>
        <w:jc w:val="both"/>
        <w:rPr>
          <w:rFonts w:ascii="Arial"/>
          <w:sz w:val="14"/>
        </w:rPr>
      </w:pPr>
      <w:r w:rsidRPr="008A486B">
        <w:rPr>
          <w:rFonts w:ascii="Arial"/>
          <w:sz w:val="14"/>
        </w:rPr>
        <w:t xml:space="preserve">Mgr. Petra </w:t>
      </w:r>
      <w:proofErr w:type="spellStart"/>
      <w:r w:rsidRPr="008A486B">
        <w:rPr>
          <w:rFonts w:ascii="Arial"/>
          <w:sz w:val="14"/>
        </w:rPr>
        <w:t>Riedlov</w:t>
      </w:r>
      <w:r w:rsidRPr="008A486B">
        <w:rPr>
          <w:rFonts w:ascii="Arial"/>
          <w:sz w:val="14"/>
        </w:rPr>
        <w:t>á</w:t>
      </w:r>
      <w:proofErr w:type="spellEnd"/>
      <w:r w:rsidRPr="008A486B">
        <w:rPr>
          <w:rFonts w:ascii="Arial"/>
          <w:sz w:val="14"/>
        </w:rPr>
        <w:t xml:space="preserve">, Ph.D. is a graduate of doctoral studies in Public Health at the Department of Epidemiology and Public Health, Faculty of Medicine in the Czech Republic. She deals with the prevention of individual non-infectious diseases, as well as the early diagnosis of cancer, she is a co-founder of the non-profit organization Czech Center of Signal Animal. She worked in the Laboratory of Molecular Biology, Department of Medical Genetics and is now a member of the team at the Center for Epidemiological Research, Faculty of Medicine, Ostrava. She is finding that genetics is playing an increasingly important role in the development and emergence of various diseases. That is why she also deals with this issue. </w:t>
      </w:r>
    </w:p>
    <w:p w14:paraId="40948AA9" w14:textId="1C40347C" w:rsidR="00AE3E37" w:rsidRDefault="00A9710C">
      <w:pPr>
        <w:spacing w:before="62"/>
        <w:ind w:left="4217" w:right="4235"/>
        <w:jc w:val="center"/>
        <w:rPr>
          <w:rFonts w:ascii="Arial"/>
          <w:sz w:val="14"/>
        </w:rPr>
      </w:pPr>
      <w:r>
        <w:rPr>
          <w:rFonts w:ascii="Arial"/>
          <w:sz w:val="14"/>
        </w:rPr>
        <w:t xml:space="preserve">Email: </w:t>
      </w:r>
      <w:r w:rsidR="0010532C" w:rsidRPr="0010532C">
        <w:rPr>
          <w:rFonts w:ascii="Arial"/>
          <w:sz w:val="14"/>
        </w:rPr>
        <w:t>petra.riedlovav</w:t>
      </w:r>
      <w:r w:rsidR="0010532C">
        <w:rPr>
          <w:rFonts w:ascii="Arial"/>
          <w:sz w:val="14"/>
        </w:rPr>
        <w:t>@osu.cz</w:t>
      </w:r>
    </w:p>
    <w:p w14:paraId="1D983EFA" w14:textId="77777777" w:rsidR="00AE3E37" w:rsidRDefault="00292ED9">
      <w:pPr>
        <w:pStyle w:val="Zkladntext"/>
        <w:spacing w:before="2"/>
        <w:rPr>
          <w:rFonts w:ascii="Arial"/>
          <w:sz w:val="19"/>
        </w:rPr>
      </w:pPr>
      <w:r>
        <w:rPr>
          <w:noProof/>
        </w:rPr>
        <mc:AlternateContent>
          <mc:Choice Requires="wps">
            <w:drawing>
              <wp:anchor distT="0" distB="0" distL="0" distR="0" simplePos="0" relativeHeight="1072" behindDoc="0" locked="0" layoutInCell="1" allowOverlap="1" wp14:anchorId="5364BDDE" wp14:editId="5AD4E03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2BD7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6CD20DE" w14:textId="77777777" w:rsidR="008A486B" w:rsidRPr="0013708E" w:rsidRDefault="008A486B" w:rsidP="008A486B">
      <w:pPr>
        <w:jc w:val="both"/>
        <w:rPr>
          <w:b/>
        </w:rPr>
      </w:pPr>
      <w:r w:rsidRPr="0013708E">
        <w:rPr>
          <w:b/>
        </w:rPr>
        <w:t xml:space="preserve">Presenting author details </w:t>
      </w:r>
    </w:p>
    <w:p w14:paraId="7672B1E6" w14:textId="77777777" w:rsidR="008A486B" w:rsidRPr="0013708E" w:rsidRDefault="008A486B" w:rsidP="008A486B">
      <w:pPr>
        <w:jc w:val="both"/>
      </w:pPr>
      <w:r w:rsidRPr="0013708E">
        <w:t xml:space="preserve">Full name: </w:t>
      </w:r>
      <w:r>
        <w:t>Petra Riedlova</w:t>
      </w:r>
    </w:p>
    <w:p w14:paraId="291FA8CF" w14:textId="77777777" w:rsidR="008A486B" w:rsidRDefault="008A486B" w:rsidP="008A486B">
      <w:pPr>
        <w:jc w:val="both"/>
      </w:pPr>
      <w:r w:rsidRPr="0013708E">
        <w:t>Contact number:</w:t>
      </w:r>
      <w:r>
        <w:t xml:space="preserve"> 00420730169978</w:t>
      </w:r>
    </w:p>
    <w:p w14:paraId="3E9BE88A" w14:textId="77777777" w:rsidR="008A486B" w:rsidRPr="0013708E" w:rsidRDefault="008A486B" w:rsidP="008A486B">
      <w:pPr>
        <w:jc w:val="both"/>
      </w:pPr>
      <w:r>
        <w:t>Mail id: petra.riedlova@osu.cz</w:t>
      </w:r>
    </w:p>
    <w:p w14:paraId="54FE4CB5" w14:textId="22E959A5" w:rsidR="00AE3E37" w:rsidRPr="008A486B" w:rsidRDefault="008A486B" w:rsidP="008A486B">
      <w:pPr>
        <w:jc w:val="both"/>
      </w:pPr>
      <w:r w:rsidRPr="0013708E">
        <w:t>Category: Poster presentation</w:t>
      </w:r>
    </w:p>
    <w:p w14:paraId="3AD1ABC6" w14:textId="77777777" w:rsidR="00AE3E37" w:rsidRDefault="00AE3E37">
      <w:pPr>
        <w:pStyle w:val="Zkladntext"/>
        <w:spacing w:before="7"/>
        <w:rPr>
          <w:rFonts w:ascii="Arial"/>
          <w:sz w:val="29"/>
        </w:rPr>
      </w:pPr>
    </w:p>
    <w:p w14:paraId="238562C6" w14:textId="4F2AFE80" w:rsidR="008A486B" w:rsidRDefault="008A486B" w:rsidP="008A486B">
      <w:pPr>
        <w:jc w:val="both"/>
        <w:rPr>
          <w:sz w:val="24"/>
          <w:szCs w:val="24"/>
        </w:rPr>
      </w:pPr>
    </w:p>
    <w:p w14:paraId="55A6A8DA" w14:textId="21F08349"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5A8A396" w14:textId="77777777" w:rsidR="00F046EA" w:rsidRPr="0013708E" w:rsidRDefault="00F046EA" w:rsidP="00F046EA">
      <w:pPr>
        <w:jc w:val="both"/>
        <w:rPr>
          <w:b/>
        </w:rPr>
      </w:pPr>
      <w:r w:rsidRPr="0013708E">
        <w:rPr>
          <w:b/>
        </w:rPr>
        <w:lastRenderedPageBreak/>
        <w:t xml:space="preserve">Presenting author details </w:t>
      </w:r>
    </w:p>
    <w:p w14:paraId="61989D03" w14:textId="57C7243F" w:rsidR="00F046EA" w:rsidRPr="0013708E" w:rsidRDefault="00F046EA" w:rsidP="00F046EA">
      <w:pPr>
        <w:jc w:val="both"/>
      </w:pPr>
      <w:r w:rsidRPr="0013708E">
        <w:t xml:space="preserve">Full name: </w:t>
      </w:r>
      <w:r w:rsidR="00215822">
        <w:t>Petra Riedlova</w:t>
      </w:r>
    </w:p>
    <w:p w14:paraId="36CC6F1B" w14:textId="47D4232A" w:rsidR="00F046EA" w:rsidRDefault="00F046EA" w:rsidP="00F046EA">
      <w:pPr>
        <w:jc w:val="both"/>
      </w:pPr>
      <w:r w:rsidRPr="0013708E">
        <w:t>Contact number:</w:t>
      </w:r>
      <w:r w:rsidR="00215822">
        <w:t xml:space="preserve"> 00420730169978</w:t>
      </w:r>
    </w:p>
    <w:p w14:paraId="5BCF31AE" w14:textId="1E821203" w:rsidR="00F046EA" w:rsidRPr="0013708E" w:rsidRDefault="00F046EA" w:rsidP="00F046EA">
      <w:pPr>
        <w:jc w:val="both"/>
      </w:pPr>
      <w:r>
        <w:t xml:space="preserve">Mail id: </w:t>
      </w:r>
      <w:r w:rsidR="00215822">
        <w:t>petra.riedlova@osu.cz</w:t>
      </w:r>
    </w:p>
    <w:p w14:paraId="36B1B601" w14:textId="700CE479" w:rsidR="00F046EA" w:rsidRDefault="00F046EA" w:rsidP="00F046EA">
      <w:pPr>
        <w:jc w:val="both"/>
      </w:pPr>
      <w:r w:rsidRPr="0013708E">
        <w:t>Category: Poster presentation</w:t>
      </w:r>
    </w:p>
    <w:p w14:paraId="5AA01D60" w14:textId="77777777" w:rsidR="00AE3E37" w:rsidRDefault="00AE3E37">
      <w:pPr>
        <w:pStyle w:val="Zkladn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22DFE" w14:textId="77777777" w:rsidR="00D919C3" w:rsidRDefault="00D919C3">
      <w:r>
        <w:separator/>
      </w:r>
    </w:p>
  </w:endnote>
  <w:endnote w:type="continuationSeparator" w:id="0">
    <w:p w14:paraId="51B32ACD" w14:textId="77777777" w:rsidR="00D919C3" w:rsidRDefault="00D91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altName w:val="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A89AC" w14:textId="77777777" w:rsidR="00AE3E37" w:rsidRDefault="00292ED9">
    <w:pPr>
      <w:pStyle w:val="Zkladntext"/>
      <w:spacing w:line="14" w:lineRule="auto"/>
      <w:rPr>
        <w:sz w:val="20"/>
      </w:rPr>
    </w:pPr>
    <w:r>
      <w:rPr>
        <w:noProof/>
      </w:rPr>
      <mc:AlternateContent>
        <mc:Choice Requires="wps">
          <w:drawing>
            <wp:anchor distT="0" distB="0" distL="114300" distR="114300" simplePos="0" relativeHeight="503311928" behindDoc="1" locked="0" layoutInCell="1" allowOverlap="1" wp14:anchorId="77CE6DB1" wp14:editId="4553200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90EF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70B19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E6DB1"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D690EF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70B19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10088C8" wp14:editId="2C8C2B2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76F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3DF9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088C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24076F1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3DF9B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85FA653" wp14:editId="287C720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021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10DC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FA65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D5021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10DC8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3A99E" w14:textId="77777777" w:rsidR="00D919C3" w:rsidRDefault="00D919C3">
      <w:r>
        <w:separator/>
      </w:r>
    </w:p>
  </w:footnote>
  <w:footnote w:type="continuationSeparator" w:id="0">
    <w:p w14:paraId="048FB9F2" w14:textId="77777777" w:rsidR="00D919C3" w:rsidRDefault="00D91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532C"/>
    <w:rsid w:val="001263DF"/>
    <w:rsid w:val="00144295"/>
    <w:rsid w:val="001F77EC"/>
    <w:rsid w:val="00215822"/>
    <w:rsid w:val="00292ED9"/>
    <w:rsid w:val="00351781"/>
    <w:rsid w:val="00351D9B"/>
    <w:rsid w:val="00380299"/>
    <w:rsid w:val="003B208A"/>
    <w:rsid w:val="00404E5B"/>
    <w:rsid w:val="00414F7B"/>
    <w:rsid w:val="004355DC"/>
    <w:rsid w:val="004749B4"/>
    <w:rsid w:val="00494130"/>
    <w:rsid w:val="004F3523"/>
    <w:rsid w:val="005973B9"/>
    <w:rsid w:val="005A29FF"/>
    <w:rsid w:val="005B3A56"/>
    <w:rsid w:val="006060CE"/>
    <w:rsid w:val="0061505C"/>
    <w:rsid w:val="0063497F"/>
    <w:rsid w:val="0066469B"/>
    <w:rsid w:val="006B1861"/>
    <w:rsid w:val="00714354"/>
    <w:rsid w:val="00742F6A"/>
    <w:rsid w:val="007844D1"/>
    <w:rsid w:val="00873DF0"/>
    <w:rsid w:val="008756E6"/>
    <w:rsid w:val="00897EC5"/>
    <w:rsid w:val="008A486B"/>
    <w:rsid w:val="008E5477"/>
    <w:rsid w:val="009B2D44"/>
    <w:rsid w:val="00A07E82"/>
    <w:rsid w:val="00A52075"/>
    <w:rsid w:val="00A9710C"/>
    <w:rsid w:val="00AE3E37"/>
    <w:rsid w:val="00B153DA"/>
    <w:rsid w:val="00B21A57"/>
    <w:rsid w:val="00B77764"/>
    <w:rsid w:val="00C33602"/>
    <w:rsid w:val="00C56C74"/>
    <w:rsid w:val="00CD6F55"/>
    <w:rsid w:val="00CE5E6F"/>
    <w:rsid w:val="00D919C3"/>
    <w:rsid w:val="00DE3104"/>
    <w:rsid w:val="00DE6170"/>
    <w:rsid w:val="00DF05DA"/>
    <w:rsid w:val="00E30AAC"/>
    <w:rsid w:val="00E95D97"/>
    <w:rsid w:val="00F046EA"/>
    <w:rsid w:val="00F72EEA"/>
    <w:rsid w:val="00F84CAE"/>
    <w:rsid w:val="00F979CD"/>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294A3"/>
  <w15:docId w15:val="{A4769E2C-555B-41D9-9C53-323C98B19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paragraph" w:styleId="z-Zatekformule">
    <w:name w:val="HTML Top of Form"/>
    <w:basedOn w:val="Normln"/>
    <w:next w:val="Normln"/>
    <w:link w:val="z-ZatekformuleChar"/>
    <w:hidden/>
    <w:uiPriority w:val="99"/>
    <w:semiHidden/>
    <w:unhideWhenUsed/>
    <w:rsid w:val="007844D1"/>
    <w:pPr>
      <w:widowControl/>
      <w:pBdr>
        <w:bottom w:val="single" w:sz="6" w:space="1" w:color="auto"/>
      </w:pBdr>
      <w:jc w:val="center"/>
    </w:pPr>
    <w:rPr>
      <w:rFonts w:ascii="Arial" w:eastAsia="Times New Roman" w:hAnsi="Arial" w:cs="Arial"/>
      <w:vanish/>
      <w:sz w:val="16"/>
      <w:szCs w:val="16"/>
      <w:lang w:val="cs-CZ" w:eastAsia="cs-CZ"/>
    </w:rPr>
  </w:style>
  <w:style w:type="character" w:customStyle="1" w:styleId="z-ZatekformuleChar">
    <w:name w:val="z-Začátek formuláře Char"/>
    <w:basedOn w:val="Standardnpsmoodstavce"/>
    <w:link w:val="z-Zatekformule"/>
    <w:uiPriority w:val="99"/>
    <w:semiHidden/>
    <w:rsid w:val="007844D1"/>
    <w:rPr>
      <w:rFonts w:ascii="Arial" w:eastAsia="Times New Roman" w:hAnsi="Arial" w:cs="Arial"/>
      <w:vanish/>
      <w:sz w:val="16"/>
      <w:szCs w:val="16"/>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63866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1998627">
      <w:bodyDiv w:val="1"/>
      <w:marLeft w:val="0"/>
      <w:marRight w:val="0"/>
      <w:marTop w:val="0"/>
      <w:marBottom w:val="0"/>
      <w:divBdr>
        <w:top w:val="none" w:sz="0" w:space="0" w:color="auto"/>
        <w:left w:val="none" w:sz="0" w:space="0" w:color="auto"/>
        <w:bottom w:val="none" w:sz="0" w:space="0" w:color="auto"/>
        <w:right w:val="none" w:sz="0" w:space="0" w:color="auto"/>
      </w:divBdr>
      <w:divsChild>
        <w:div w:id="966816184">
          <w:marLeft w:val="-225"/>
          <w:marRight w:val="-225"/>
          <w:marTop w:val="0"/>
          <w:marBottom w:val="0"/>
          <w:divBdr>
            <w:top w:val="none" w:sz="0" w:space="0" w:color="auto"/>
            <w:left w:val="none" w:sz="0" w:space="0" w:color="auto"/>
            <w:bottom w:val="none" w:sz="0" w:space="0" w:color="auto"/>
            <w:right w:val="none" w:sz="0" w:space="0" w:color="auto"/>
          </w:divBdr>
          <w:divsChild>
            <w:div w:id="1581207946">
              <w:marLeft w:val="0"/>
              <w:marRight w:val="0"/>
              <w:marTop w:val="0"/>
              <w:marBottom w:val="0"/>
              <w:divBdr>
                <w:top w:val="none" w:sz="0" w:space="0" w:color="auto"/>
                <w:left w:val="none" w:sz="0" w:space="0" w:color="auto"/>
                <w:bottom w:val="none" w:sz="0" w:space="0" w:color="auto"/>
                <w:right w:val="none" w:sz="0" w:space="0" w:color="auto"/>
              </w:divBdr>
              <w:divsChild>
                <w:div w:id="2033529153">
                  <w:marLeft w:val="0"/>
                  <w:marRight w:val="0"/>
                  <w:marTop w:val="0"/>
                  <w:marBottom w:val="0"/>
                  <w:divBdr>
                    <w:top w:val="none" w:sz="0" w:space="0" w:color="auto"/>
                    <w:left w:val="none" w:sz="0" w:space="0" w:color="auto"/>
                    <w:bottom w:val="none" w:sz="0" w:space="0" w:color="auto"/>
                    <w:right w:val="none" w:sz="0" w:space="0" w:color="auto"/>
                  </w:divBdr>
                </w:div>
                <w:div w:id="31865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679</Words>
  <Characters>4009</Characters>
  <Application>Microsoft Office Word</Application>
  <DocSecurity>0</DocSecurity>
  <Lines>33</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Petra Riedlova</cp:lastModifiedBy>
  <cp:revision>12</cp:revision>
  <dcterms:created xsi:type="dcterms:W3CDTF">2021-06-21T08:10:00Z</dcterms:created>
  <dcterms:modified xsi:type="dcterms:W3CDTF">2021-06-30T08:22:00Z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