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D26E6A" w14:textId="0BF1511F" w:rsidR="00CD3BFF" w:rsidRDefault="00CD3BFF" w:rsidP="00BE13FF">
      <w:pPr>
        <w:jc w:val="right"/>
        <w:rPr>
          <w:lang w:val="en-GB"/>
        </w:rPr>
      </w:pPr>
      <w:r w:rsidRPr="004D3C6A">
        <w:rPr>
          <w:lang w:val="en-GB"/>
        </w:rPr>
        <w:t xml:space="preserve">                                                                                                            </w:t>
      </w:r>
      <w:r>
        <w:rPr>
          <w:noProof/>
          <w:lang w:val="en-US" w:eastAsia="en-US"/>
        </w:rPr>
        <w:drawing>
          <wp:inline distT="0" distB="0" distL="0" distR="0" wp14:anchorId="58929E6E" wp14:editId="0BD4C578">
            <wp:extent cx="1670050" cy="1117600"/>
            <wp:effectExtent l="0" t="0" r="6350" b="0"/>
            <wp:docPr id="1" name="Picture 1" descr="CPP_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P_004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70050" cy="1117600"/>
                    </a:xfrm>
                    <a:prstGeom prst="rect">
                      <a:avLst/>
                    </a:prstGeom>
                    <a:noFill/>
                    <a:ln>
                      <a:noFill/>
                    </a:ln>
                  </pic:spPr>
                </pic:pic>
              </a:graphicData>
            </a:graphic>
          </wp:inline>
        </w:drawing>
      </w:r>
      <w:r w:rsidRPr="004D3C6A">
        <w:rPr>
          <w:lang w:val="en-GB"/>
        </w:rPr>
        <w:t xml:space="preserve">           </w:t>
      </w:r>
    </w:p>
    <w:p w14:paraId="43C1CE81" w14:textId="77777777" w:rsidR="00BE13FF" w:rsidRPr="004D3C6A" w:rsidRDefault="00BE13FF" w:rsidP="00BE13FF">
      <w:pPr>
        <w:jc w:val="right"/>
        <w:rPr>
          <w:lang w:val="en-GB"/>
        </w:rPr>
      </w:pPr>
    </w:p>
    <w:p w14:paraId="522B2A15" w14:textId="64389EAB" w:rsidR="00BE13FF" w:rsidRPr="00BE13FF" w:rsidRDefault="00CD3BFF" w:rsidP="00CD3BFF">
      <w:pPr>
        <w:rPr>
          <w:rFonts w:eastAsia="MS PGothic"/>
          <w:color w:val="000000"/>
        </w:rPr>
      </w:pPr>
      <w:r w:rsidRPr="004D3C6A">
        <w:rPr>
          <w:rFonts w:eastAsia="MS PGothic"/>
          <w:b/>
          <w:color w:val="000000"/>
        </w:rPr>
        <w:t>Title:</w:t>
      </w:r>
      <w:r w:rsidR="006B17EE">
        <w:rPr>
          <w:rFonts w:eastAsia="MS PGothic"/>
          <w:color w:val="000000"/>
        </w:rPr>
        <w:t xml:space="preserve"> Understanding the Unseen</w:t>
      </w:r>
      <w:r w:rsidRPr="004D3C6A">
        <w:rPr>
          <w:rFonts w:eastAsia="MS PGothic"/>
          <w:color w:val="000000"/>
        </w:rPr>
        <w:t xml:space="preserve">: </w:t>
      </w:r>
      <w:r>
        <w:rPr>
          <w:rFonts w:eastAsia="MS PGothic"/>
          <w:color w:val="000000"/>
        </w:rPr>
        <w:t xml:space="preserve">The Impact of </w:t>
      </w:r>
      <w:r w:rsidRPr="004D3C6A">
        <w:rPr>
          <w:rFonts w:eastAsia="MS PGothic"/>
          <w:color w:val="000000"/>
        </w:rPr>
        <w:t>Complex Trauma on Cognitive Development</w:t>
      </w:r>
    </w:p>
    <w:p w14:paraId="58AE5A2E" w14:textId="77777777" w:rsidR="00BD3BB5" w:rsidRDefault="00BD3BB5" w:rsidP="00CD3BFF">
      <w:pPr>
        <w:jc w:val="center"/>
        <w:rPr>
          <w:rFonts w:eastAsia="MS PGothic" w:hAnsi="Arial"/>
          <w:color w:val="000000"/>
        </w:rPr>
      </w:pPr>
    </w:p>
    <w:p w14:paraId="1D9EDFDD" w14:textId="77777777" w:rsidR="00CD3BFF" w:rsidRPr="004D3C6A" w:rsidRDefault="00CD3BFF" w:rsidP="00CD3BFF">
      <w:pPr>
        <w:jc w:val="center"/>
        <w:rPr>
          <w:rFonts w:eastAsia="MS PGothic" w:hAnsi="Arial"/>
          <w:color w:val="000000"/>
        </w:rPr>
      </w:pPr>
      <w:r w:rsidRPr="004D3C6A">
        <w:rPr>
          <w:rFonts w:eastAsia="MS PGothic" w:hAnsi="Arial"/>
          <w:color w:val="000000"/>
        </w:rPr>
        <w:t>Name: Malak Kamel, M.A.</w:t>
      </w:r>
    </w:p>
    <w:p w14:paraId="72FEEF22" w14:textId="77777777" w:rsidR="00CD3BFF" w:rsidRPr="004D3C6A" w:rsidRDefault="00CD3BFF" w:rsidP="00CD3BFF">
      <w:pPr>
        <w:jc w:val="center"/>
        <w:rPr>
          <w:rFonts w:eastAsia="MS PGothic" w:hAnsi="Arial"/>
          <w:color w:val="000000"/>
        </w:rPr>
      </w:pPr>
      <w:r w:rsidRPr="004D3C6A">
        <w:t>Zayed University</w:t>
      </w:r>
      <w:r w:rsidRPr="004D3C6A">
        <w:rPr>
          <w:rFonts w:eastAsia="MS PGothic" w:hAnsi="Arial"/>
          <w:color w:val="000000"/>
        </w:rPr>
        <w:t xml:space="preserve"> College of Natural and Health Sciences, Abu Dhabi, U</w:t>
      </w:r>
      <w:r w:rsidR="004A75FD">
        <w:rPr>
          <w:rFonts w:eastAsia="MS PGothic" w:hAnsi="Arial"/>
          <w:color w:val="000000"/>
        </w:rPr>
        <w:t>.</w:t>
      </w:r>
      <w:r w:rsidRPr="004D3C6A">
        <w:rPr>
          <w:rFonts w:eastAsia="MS PGothic" w:hAnsi="Arial"/>
          <w:color w:val="000000"/>
        </w:rPr>
        <w:t>A</w:t>
      </w:r>
      <w:r w:rsidR="004A75FD">
        <w:rPr>
          <w:rFonts w:eastAsia="MS PGothic" w:hAnsi="Arial"/>
          <w:color w:val="000000"/>
        </w:rPr>
        <w:t>.</w:t>
      </w:r>
      <w:r w:rsidRPr="004D3C6A">
        <w:rPr>
          <w:rFonts w:eastAsia="MS PGothic" w:hAnsi="Arial"/>
          <w:color w:val="000000"/>
        </w:rPr>
        <w:t>E</w:t>
      </w:r>
      <w:r w:rsidR="004A75FD">
        <w:rPr>
          <w:rFonts w:eastAsia="MS PGothic" w:hAnsi="Arial"/>
          <w:color w:val="000000"/>
        </w:rPr>
        <w:t>.</w:t>
      </w:r>
    </w:p>
    <w:p w14:paraId="3928E0FD" w14:textId="77777777" w:rsidR="00CD3BFF" w:rsidRPr="004D3C6A" w:rsidRDefault="00CD3BFF" w:rsidP="00CD3BFF">
      <w:pPr>
        <w:jc w:val="center"/>
        <w:rPr>
          <w:rFonts w:eastAsia="Batang"/>
          <w:color w:val="0000FF"/>
        </w:rPr>
      </w:pPr>
    </w:p>
    <w:p w14:paraId="704C2AA4" w14:textId="77777777" w:rsidR="00CD3BFF" w:rsidRPr="004D3C6A" w:rsidRDefault="00CD3BFF" w:rsidP="00CD3BFF">
      <w:pPr>
        <w:jc w:val="both"/>
        <w:rPr>
          <w:rFonts w:eastAsia="MS PGothic"/>
          <w:b/>
          <w:color w:val="000000"/>
        </w:rPr>
      </w:pPr>
      <w:r w:rsidRPr="004D3C6A">
        <w:rPr>
          <w:rFonts w:eastAsia="MS PGothic"/>
          <w:b/>
          <w:color w:val="000000"/>
        </w:rPr>
        <w:t>Abstract:</w:t>
      </w:r>
    </w:p>
    <w:p w14:paraId="350CC286" w14:textId="77777777" w:rsidR="00CD3BFF" w:rsidRDefault="00CD3BFF" w:rsidP="00CD3BFF">
      <w:pPr>
        <w:jc w:val="both"/>
        <w:rPr>
          <w:color w:val="000000"/>
        </w:rPr>
      </w:pPr>
    </w:p>
    <w:p w14:paraId="458F6CB7" w14:textId="3AFDD2DF" w:rsidR="004A75FD" w:rsidRDefault="00CD3BFF" w:rsidP="004A75FD">
      <w:pPr>
        <w:ind w:firstLine="720"/>
        <w:jc w:val="both"/>
        <w:rPr>
          <w:color w:val="000000"/>
        </w:rPr>
      </w:pPr>
      <w:r>
        <w:rPr>
          <w:color w:val="000000"/>
        </w:rPr>
        <w:t>Complex trauma is defined</w:t>
      </w:r>
      <w:r w:rsidR="006B17EE">
        <w:rPr>
          <w:color w:val="000000"/>
        </w:rPr>
        <w:t xml:space="preserve"> as the experience of multiple, </w:t>
      </w:r>
      <w:r>
        <w:rPr>
          <w:color w:val="000000"/>
        </w:rPr>
        <w:t xml:space="preserve">chronic, and </w:t>
      </w:r>
      <w:r w:rsidR="006B17EE">
        <w:rPr>
          <w:color w:val="000000"/>
        </w:rPr>
        <w:t>adverse traumatic events that are of an interpersonal nature and</w:t>
      </w:r>
      <w:r>
        <w:rPr>
          <w:color w:val="000000"/>
        </w:rPr>
        <w:t xml:space="preserve"> most often occur </w:t>
      </w:r>
      <w:r w:rsidR="006B17EE">
        <w:rPr>
          <w:color w:val="000000"/>
        </w:rPr>
        <w:t>in early development</w:t>
      </w:r>
      <w:r>
        <w:rPr>
          <w:color w:val="000000"/>
        </w:rPr>
        <w:t>. When exposed to repeated traumatic experiences, a great amount of emotional and mental energy is expanded to deal with the event(s)</w:t>
      </w:r>
      <w:r w:rsidR="004A75FD">
        <w:rPr>
          <w:color w:val="000000"/>
        </w:rPr>
        <w:t>.</w:t>
      </w:r>
      <w:r>
        <w:rPr>
          <w:color w:val="000000"/>
        </w:rPr>
        <w:t xml:space="preserve"> The brain becomes wired for</w:t>
      </w:r>
      <w:r w:rsidR="004A75FD">
        <w:rPr>
          <w:color w:val="000000"/>
        </w:rPr>
        <w:t xml:space="preserve"> sur</w:t>
      </w:r>
      <w:r>
        <w:rPr>
          <w:color w:val="000000"/>
        </w:rPr>
        <w:t>vival, altering patterns of neural connections in the</w:t>
      </w:r>
      <w:r w:rsidR="004A75FD">
        <w:rPr>
          <w:color w:val="000000"/>
        </w:rPr>
        <w:t xml:space="preserve"> lim</w:t>
      </w:r>
      <w:r>
        <w:rPr>
          <w:color w:val="000000"/>
        </w:rPr>
        <w:t>b</w:t>
      </w:r>
      <w:r w:rsidR="004A75FD">
        <w:rPr>
          <w:color w:val="000000"/>
        </w:rPr>
        <w:t>i</w:t>
      </w:r>
      <w:r>
        <w:rPr>
          <w:color w:val="000000"/>
        </w:rPr>
        <w:t xml:space="preserve">c system or emotional brain, thus derailing </w:t>
      </w:r>
      <w:r w:rsidR="004A75FD">
        <w:rPr>
          <w:color w:val="000000"/>
        </w:rPr>
        <w:t>normal neurocognitive</w:t>
      </w:r>
      <w:r>
        <w:rPr>
          <w:color w:val="000000"/>
        </w:rPr>
        <w:t xml:space="preserve"> development. </w:t>
      </w:r>
    </w:p>
    <w:p w14:paraId="2A4A80BF" w14:textId="77777777" w:rsidR="002E4AB5" w:rsidRDefault="00CD3BFF" w:rsidP="002E4AB5">
      <w:pPr>
        <w:ind w:firstLine="720"/>
        <w:jc w:val="both"/>
        <w:rPr>
          <w:color w:val="000000"/>
        </w:rPr>
      </w:pPr>
      <w:r>
        <w:rPr>
          <w:color w:val="000000"/>
        </w:rPr>
        <w:t>Research also shows that the early years of children’s lives are crucial to their development; and that exposure to chronic neglect and to maladaptive attachment styles can contr</w:t>
      </w:r>
      <w:r w:rsidR="004A75FD">
        <w:rPr>
          <w:color w:val="000000"/>
        </w:rPr>
        <w:t>i</w:t>
      </w:r>
      <w:r>
        <w:rPr>
          <w:color w:val="000000"/>
        </w:rPr>
        <w:t xml:space="preserve">bute to complex trauma. </w:t>
      </w:r>
      <w:r w:rsidR="002E4AB5">
        <w:rPr>
          <w:color w:val="000000"/>
        </w:rPr>
        <w:t xml:space="preserve">Working in parallel during this </w:t>
      </w:r>
      <w:r>
        <w:rPr>
          <w:color w:val="000000"/>
        </w:rPr>
        <w:t>crucial</w:t>
      </w:r>
      <w:r w:rsidR="002E4AB5">
        <w:rPr>
          <w:color w:val="000000"/>
        </w:rPr>
        <w:t xml:space="preserve"> period is</w:t>
      </w:r>
      <w:r>
        <w:rPr>
          <w:color w:val="000000"/>
        </w:rPr>
        <w:t xml:space="preserve"> the brain’s ability to change it</w:t>
      </w:r>
      <w:r w:rsidR="004A75FD">
        <w:rPr>
          <w:color w:val="000000"/>
        </w:rPr>
        <w:t>s</w:t>
      </w:r>
      <w:r>
        <w:rPr>
          <w:color w:val="000000"/>
        </w:rPr>
        <w:t xml:space="preserve"> own structure in response to experiences and the enivi</w:t>
      </w:r>
      <w:r w:rsidR="004A75FD">
        <w:rPr>
          <w:color w:val="000000"/>
        </w:rPr>
        <w:t>ornment (known as brain plastic</w:t>
      </w:r>
      <w:r>
        <w:rPr>
          <w:color w:val="000000"/>
        </w:rPr>
        <w:t>ity)</w:t>
      </w:r>
      <w:r w:rsidR="002E4AB5">
        <w:rPr>
          <w:color w:val="000000"/>
        </w:rPr>
        <w:t>,</w:t>
      </w:r>
      <w:r>
        <w:rPr>
          <w:color w:val="000000"/>
        </w:rPr>
        <w:t xml:space="preserve"> continu</w:t>
      </w:r>
      <w:r w:rsidR="002E4AB5">
        <w:rPr>
          <w:color w:val="000000"/>
        </w:rPr>
        <w:t>ing throughout</w:t>
      </w:r>
      <w:r>
        <w:rPr>
          <w:color w:val="000000"/>
        </w:rPr>
        <w:t xml:space="preserve"> childhood and </w:t>
      </w:r>
      <w:r w:rsidR="002E4AB5">
        <w:rPr>
          <w:color w:val="000000"/>
        </w:rPr>
        <w:t xml:space="preserve">well </w:t>
      </w:r>
      <w:r>
        <w:rPr>
          <w:color w:val="000000"/>
        </w:rPr>
        <w:t>into adulthood. This make</w:t>
      </w:r>
      <w:r w:rsidR="004A75FD">
        <w:rPr>
          <w:color w:val="000000"/>
        </w:rPr>
        <w:t>s it imperative that practitioners</w:t>
      </w:r>
      <w:r>
        <w:rPr>
          <w:color w:val="000000"/>
        </w:rPr>
        <w:t xml:space="preserve"> </w:t>
      </w:r>
      <w:r w:rsidR="002E4AB5">
        <w:rPr>
          <w:color w:val="000000"/>
        </w:rPr>
        <w:t xml:space="preserve">act swiftly in </w:t>
      </w:r>
      <w:r>
        <w:rPr>
          <w:color w:val="000000"/>
        </w:rPr>
        <w:t>assessing</w:t>
      </w:r>
      <w:r w:rsidR="002E4AB5">
        <w:rPr>
          <w:color w:val="000000"/>
        </w:rPr>
        <w:t xml:space="preserve"> trauma and providing the necessary supports </w:t>
      </w:r>
      <w:r>
        <w:rPr>
          <w:color w:val="000000"/>
        </w:rPr>
        <w:t>at the earliest possible. Research shows that building o</w:t>
      </w:r>
      <w:r w:rsidR="002E4AB5">
        <w:rPr>
          <w:color w:val="000000"/>
        </w:rPr>
        <w:t>n empowerment and resilience with</w:t>
      </w:r>
      <w:r>
        <w:rPr>
          <w:color w:val="000000"/>
        </w:rPr>
        <w:t xml:space="preserve"> a </w:t>
      </w:r>
      <w:r w:rsidR="002E4AB5">
        <w:rPr>
          <w:color w:val="000000"/>
        </w:rPr>
        <w:t xml:space="preserve">strong </w:t>
      </w:r>
      <w:r>
        <w:rPr>
          <w:color w:val="000000"/>
        </w:rPr>
        <w:t xml:space="preserve">focus on self-concept can </w:t>
      </w:r>
      <w:r w:rsidR="002E4AB5">
        <w:rPr>
          <w:color w:val="000000"/>
        </w:rPr>
        <w:t xml:space="preserve">foster brain plasticity and </w:t>
      </w:r>
      <w:r>
        <w:rPr>
          <w:color w:val="000000"/>
        </w:rPr>
        <w:t>thwart the effects of complex trauma</w:t>
      </w:r>
      <w:r w:rsidR="002E4AB5">
        <w:rPr>
          <w:color w:val="000000"/>
        </w:rPr>
        <w:t>.</w:t>
      </w:r>
    </w:p>
    <w:p w14:paraId="0739F82E" w14:textId="24D44EC3" w:rsidR="00CD3BFF" w:rsidRDefault="00CD3BFF" w:rsidP="002E4AB5">
      <w:pPr>
        <w:ind w:firstLine="720"/>
        <w:jc w:val="both"/>
        <w:rPr>
          <w:color w:val="000000"/>
        </w:rPr>
      </w:pPr>
      <w:r>
        <w:rPr>
          <w:color w:val="000000"/>
        </w:rPr>
        <w:t xml:space="preserve">During this brief talk </w:t>
      </w:r>
      <w:r w:rsidR="002E4AB5">
        <w:rPr>
          <w:color w:val="000000"/>
        </w:rPr>
        <w:t>Ms. Kamel</w:t>
      </w:r>
      <w:r>
        <w:rPr>
          <w:color w:val="000000"/>
        </w:rPr>
        <w:t xml:space="preserve"> will discuss the primary types of child neglect and malad</w:t>
      </w:r>
      <w:r w:rsidR="004A75FD">
        <w:rPr>
          <w:color w:val="000000"/>
        </w:rPr>
        <w:t>a</w:t>
      </w:r>
      <w:r>
        <w:rPr>
          <w:color w:val="000000"/>
        </w:rPr>
        <w:t>ptive attachment styles, reviewing their im</w:t>
      </w:r>
      <w:r w:rsidR="004A75FD">
        <w:rPr>
          <w:color w:val="000000"/>
        </w:rPr>
        <w:t>pa</w:t>
      </w:r>
      <w:r>
        <w:rPr>
          <w:color w:val="000000"/>
        </w:rPr>
        <w:t>cts on co</w:t>
      </w:r>
      <w:r w:rsidR="002E4AB5">
        <w:rPr>
          <w:color w:val="000000"/>
        </w:rPr>
        <w:t>gnitive development and touch</w:t>
      </w:r>
      <w:r>
        <w:rPr>
          <w:color w:val="000000"/>
        </w:rPr>
        <w:t xml:space="preserve"> upon various tools used to assess for com</w:t>
      </w:r>
      <w:r w:rsidR="002E4AB5">
        <w:rPr>
          <w:color w:val="000000"/>
        </w:rPr>
        <w:t>plex trauma. Most</w:t>
      </w:r>
      <w:r>
        <w:rPr>
          <w:color w:val="000000"/>
        </w:rPr>
        <w:t xml:space="preserve"> importantly Ms. Kamel will </w:t>
      </w:r>
      <w:r w:rsidR="002E4AB5">
        <w:rPr>
          <w:color w:val="000000"/>
        </w:rPr>
        <w:t>discuss</w:t>
      </w:r>
      <w:r>
        <w:rPr>
          <w:color w:val="000000"/>
        </w:rPr>
        <w:t xml:space="preserve"> implications in practice and ways to foster empowerment and resilience, providing examples from her years of practice in Canada, Trinidad and Tobago, Egypt</w:t>
      </w:r>
      <w:r w:rsidR="006B17EE">
        <w:rPr>
          <w:color w:val="000000"/>
        </w:rPr>
        <w:t>, and the U.A.E</w:t>
      </w:r>
      <w:r>
        <w:rPr>
          <w:color w:val="000000"/>
        </w:rPr>
        <w:t xml:space="preserve">. </w:t>
      </w:r>
    </w:p>
    <w:p w14:paraId="55F2B98D" w14:textId="77777777" w:rsidR="00CD3BFF" w:rsidRDefault="00CD3BFF" w:rsidP="00CD3BFF">
      <w:pPr>
        <w:ind w:firstLine="720"/>
        <w:jc w:val="both"/>
        <w:rPr>
          <w:color w:val="000000"/>
        </w:rPr>
      </w:pPr>
    </w:p>
    <w:p w14:paraId="39A606E5" w14:textId="106303E8" w:rsidR="00CD3BFF" w:rsidRDefault="00CD3BFF" w:rsidP="00CD3BFF">
      <w:pPr>
        <w:jc w:val="both"/>
        <w:rPr>
          <w:color w:val="000000"/>
        </w:rPr>
      </w:pPr>
      <w:r w:rsidRPr="004D3C6A">
        <w:rPr>
          <w:color w:val="000000"/>
        </w:rPr>
        <w:t>(</w:t>
      </w:r>
      <w:r w:rsidR="002E4AB5">
        <w:rPr>
          <w:color w:val="000000"/>
        </w:rPr>
        <w:t>Word Count: 24</w:t>
      </w:r>
      <w:r w:rsidR="006B17EE">
        <w:rPr>
          <w:color w:val="000000"/>
        </w:rPr>
        <w:t>8</w:t>
      </w:r>
      <w:r w:rsidRPr="004D3C6A">
        <w:rPr>
          <w:color w:val="000000"/>
        </w:rPr>
        <w:t>)</w:t>
      </w:r>
      <w:bookmarkStart w:id="0" w:name="_GoBack"/>
      <w:bookmarkEnd w:id="0"/>
    </w:p>
    <w:p w14:paraId="316355E2" w14:textId="77777777" w:rsidR="00CD3BFF" w:rsidRPr="004D3C6A" w:rsidRDefault="00CD3BFF" w:rsidP="00CD3BFF">
      <w:pPr>
        <w:jc w:val="both"/>
        <w:rPr>
          <w:color w:val="000000"/>
        </w:rPr>
      </w:pPr>
    </w:p>
    <w:p w14:paraId="4AE29F02" w14:textId="77777777" w:rsidR="00CD3BFF" w:rsidRPr="004D3C6A" w:rsidRDefault="00CD3BFF" w:rsidP="00CD3BFF">
      <w:pPr>
        <w:jc w:val="both"/>
        <w:rPr>
          <w:b/>
        </w:rPr>
      </w:pPr>
      <w:r w:rsidRPr="004D3C6A">
        <w:rPr>
          <w:b/>
        </w:rPr>
        <w:t>Biography:</w:t>
      </w:r>
    </w:p>
    <w:p w14:paraId="1DB77871" w14:textId="77777777" w:rsidR="00BE13FF" w:rsidRDefault="00CD3BFF" w:rsidP="00CD3BFF">
      <w:pPr>
        <w:jc w:val="both"/>
      </w:pPr>
      <w:r w:rsidRPr="004D3C6A">
        <w:t xml:space="preserve">Malak Kamel is a licensed psychotherapist, university instructor, and frequently sought after government advisor in child development and youth mental health. She served the Canadian government in child and family services, has developed international child protection trainings and welfare policies, and has collaborated in research ventures with McGill University, Columbia University, </w:t>
      </w:r>
      <w:r>
        <w:t xml:space="preserve">and </w:t>
      </w:r>
      <w:r w:rsidRPr="004D3C6A">
        <w:t xml:space="preserve">Harvard University. Ms. Kamel is a member of the American Psychological Association, the Canadian Psychological Association, and the Middle East Psychological Association. She enjoys balancing her contributions </w:t>
      </w:r>
      <w:r>
        <w:t>to</w:t>
      </w:r>
      <w:r w:rsidRPr="004D3C6A">
        <w:t xml:space="preserve"> the field between private practice therapy, university teaching, and community engagement in psychology</w:t>
      </w:r>
      <w:r>
        <w:t xml:space="preserve"> and social work</w:t>
      </w:r>
      <w:r w:rsidRPr="004D3C6A">
        <w:t xml:space="preserve">. </w:t>
      </w:r>
      <w:r w:rsidR="00BE13FF">
        <w:t xml:space="preserve"> </w:t>
      </w:r>
    </w:p>
    <w:p w14:paraId="2B0C24ED" w14:textId="77777777" w:rsidR="00BE13FF" w:rsidRDefault="00BE13FF" w:rsidP="00CD3BFF">
      <w:pPr>
        <w:jc w:val="both"/>
      </w:pPr>
    </w:p>
    <w:p w14:paraId="39DEE0E2" w14:textId="229436EF" w:rsidR="00CD3BFF" w:rsidRPr="004D3C6A" w:rsidRDefault="00CD3BFF" w:rsidP="00CD3BFF">
      <w:pPr>
        <w:jc w:val="both"/>
      </w:pPr>
      <w:r w:rsidRPr="004D3C6A">
        <w:t>(</w:t>
      </w:r>
      <w:r w:rsidR="002E4AB5">
        <w:t>Word Count: 96</w:t>
      </w:r>
      <w:r w:rsidRPr="004D3C6A">
        <w:t>)</w:t>
      </w:r>
    </w:p>
    <w:p w14:paraId="36660715" w14:textId="77777777" w:rsidR="00CD3BFF" w:rsidRPr="004D3C6A" w:rsidRDefault="00CD3BFF" w:rsidP="00CD3BFF"/>
    <w:p w14:paraId="032A8753" w14:textId="77777777" w:rsidR="00CD3BFF" w:rsidRPr="004D3C6A" w:rsidRDefault="00CD3BFF" w:rsidP="00CD3BFF">
      <w:pPr>
        <w:rPr>
          <w:rFonts w:eastAsia="MS PGothic"/>
          <w:color w:val="000000"/>
        </w:rPr>
      </w:pPr>
      <w:r w:rsidRPr="004D3C6A">
        <w:rPr>
          <w:b/>
          <w:lang w:val="en-NZ"/>
        </w:rPr>
        <w:t xml:space="preserve">Presenting author details: </w:t>
      </w:r>
      <w:r w:rsidRPr="004D3C6A">
        <w:rPr>
          <w:b/>
          <w:lang w:val="en-NZ"/>
        </w:rPr>
        <w:br/>
      </w:r>
      <w:r w:rsidRPr="004D3C6A">
        <w:rPr>
          <w:lang w:val="en-NZ"/>
        </w:rPr>
        <w:t xml:space="preserve">Full name:  </w:t>
      </w:r>
      <w:r w:rsidRPr="004D3C6A">
        <w:rPr>
          <w:lang w:val="en-NZ"/>
        </w:rPr>
        <w:tab/>
      </w:r>
      <w:r w:rsidRPr="004D3C6A">
        <w:rPr>
          <w:lang w:val="en-NZ"/>
        </w:rPr>
        <w:tab/>
      </w:r>
      <w:r w:rsidRPr="004D3C6A">
        <w:rPr>
          <w:lang w:val="en-NZ"/>
        </w:rPr>
        <w:tab/>
        <w:t>Malak Kamel</w:t>
      </w:r>
      <w:r w:rsidRPr="004D3C6A">
        <w:rPr>
          <w:lang w:val="en-NZ"/>
        </w:rPr>
        <w:br/>
        <w:t xml:space="preserve">Contact number: </w:t>
      </w:r>
      <w:r w:rsidRPr="004D3C6A">
        <w:rPr>
          <w:lang w:val="en-NZ"/>
        </w:rPr>
        <w:tab/>
      </w:r>
      <w:r w:rsidRPr="004D3C6A">
        <w:rPr>
          <w:lang w:val="en-NZ"/>
        </w:rPr>
        <w:tab/>
        <w:t>+971 50 528 2894</w:t>
      </w:r>
      <w:r w:rsidRPr="004D3C6A">
        <w:rPr>
          <w:lang w:val="en-NZ"/>
        </w:rPr>
        <w:br/>
        <w:t xml:space="preserve">Twitter account: </w:t>
      </w:r>
      <w:r w:rsidRPr="004D3C6A">
        <w:rPr>
          <w:lang w:val="en-NZ"/>
        </w:rPr>
        <w:tab/>
      </w:r>
      <w:r w:rsidRPr="004D3C6A">
        <w:rPr>
          <w:lang w:val="en-NZ"/>
        </w:rPr>
        <w:tab/>
        <w:t xml:space="preserve">None </w:t>
      </w:r>
      <w:r w:rsidRPr="004D3C6A">
        <w:rPr>
          <w:lang w:val="en-NZ"/>
        </w:rPr>
        <w:br/>
        <w:t>Linked In account:</w:t>
      </w:r>
      <w:r w:rsidRPr="004D3C6A">
        <w:rPr>
          <w:lang w:val="en-NZ"/>
        </w:rPr>
        <w:tab/>
      </w:r>
      <w:r w:rsidRPr="004D3C6A">
        <w:rPr>
          <w:lang w:val="en-NZ"/>
        </w:rPr>
        <w:tab/>
        <w:t>https://www.linkedin.com/in/malak-kamel/</w:t>
      </w:r>
    </w:p>
    <w:p w14:paraId="119634B3" w14:textId="77777777" w:rsidR="00CD3BFF" w:rsidRPr="004D3C6A" w:rsidRDefault="00CD3BFF" w:rsidP="00CD3BFF">
      <w:pPr>
        <w:autoSpaceDE w:val="0"/>
        <w:autoSpaceDN w:val="0"/>
        <w:adjustRightInd w:val="0"/>
        <w:rPr>
          <w:lang w:val="en-NZ"/>
        </w:rPr>
      </w:pPr>
      <w:r w:rsidRPr="004D3C6A">
        <w:rPr>
          <w:lang w:val="en-NZ"/>
        </w:rPr>
        <w:t>Session name/number:</w:t>
      </w:r>
      <w:r w:rsidRPr="004D3C6A">
        <w:rPr>
          <w:lang w:val="en-NZ"/>
        </w:rPr>
        <w:tab/>
        <w:t>?</w:t>
      </w:r>
      <w:r w:rsidRPr="004D3C6A">
        <w:rPr>
          <w:lang w:val="en-NZ"/>
        </w:rPr>
        <w:br/>
        <w:t xml:space="preserve">Category: </w:t>
      </w:r>
      <w:r w:rsidRPr="004D3C6A">
        <w:rPr>
          <w:lang w:val="en-NZ"/>
        </w:rPr>
        <w:tab/>
      </w:r>
      <w:r w:rsidRPr="004D3C6A">
        <w:rPr>
          <w:lang w:val="en-NZ"/>
        </w:rPr>
        <w:tab/>
      </w:r>
      <w:r w:rsidRPr="004D3C6A">
        <w:rPr>
          <w:lang w:val="en-NZ"/>
        </w:rPr>
        <w:tab/>
        <w:t xml:space="preserve">Oral presentation </w:t>
      </w:r>
    </w:p>
    <w:p w14:paraId="4A707DB0" w14:textId="77777777" w:rsidR="00EB5E67" w:rsidRDefault="00EB5E67"/>
    <w:sectPr w:rsidR="00EB5E67" w:rsidSect="00BE13FF">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MS PGothic">
    <w:charset w:val="80"/>
    <w:family w:val="swiss"/>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Batang">
    <w:altName w:val="바탕"/>
    <w:charset w:val="81"/>
    <w:family w:val="roman"/>
    <w:pitch w:val="variable"/>
    <w:sig w:usb0="B00002AF" w:usb1="69D77CFB" w:usb2="00000030" w:usb3="00000000" w:csb0="0008009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3BFF"/>
    <w:rsid w:val="002E4AB5"/>
    <w:rsid w:val="004A75FD"/>
    <w:rsid w:val="006B17EE"/>
    <w:rsid w:val="00BD3BB5"/>
    <w:rsid w:val="00BE13FF"/>
    <w:rsid w:val="00CD3BFF"/>
    <w:rsid w:val="00EB5E67"/>
    <w:rsid w:val="00FF131A"/>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37878E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BFF"/>
    <w:rPr>
      <w:rFonts w:ascii="Times New Roman" w:eastAsia="Times New Roman" w:hAnsi="Times New Roman" w:cs="Times New Roman"/>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3BF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D3BFF"/>
    <w:rPr>
      <w:rFonts w:ascii="Lucida Grande" w:eastAsia="Times New Roman" w:hAnsi="Lucida Grande" w:cs="Lucida Grande"/>
      <w:sz w:val="18"/>
      <w:szCs w:val="18"/>
      <w:lang w:val="it-IT" w:eastAsia="it-I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BFF"/>
    <w:rPr>
      <w:rFonts w:ascii="Times New Roman" w:eastAsia="Times New Roman" w:hAnsi="Times New Roman" w:cs="Times New Roman"/>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3BF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D3BFF"/>
    <w:rPr>
      <w:rFonts w:ascii="Lucida Grande" w:eastAsia="Times New Roman" w:hAnsi="Lucida Grande" w:cs="Lucida Grande"/>
      <w:sz w:val="18"/>
      <w:szCs w:val="18"/>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424</Words>
  <Characters>2566</Characters>
  <Application>Microsoft Macintosh Word</Application>
  <DocSecurity>0</DocSecurity>
  <Lines>52</Lines>
  <Paragraphs>14</Paragraphs>
  <ScaleCrop>false</ScaleCrop>
  <Company/>
  <LinksUpToDate>false</LinksUpToDate>
  <CharactersWithSpaces>2976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Malak Kamel</dc:creator>
  <cp:keywords/>
  <dc:description/>
  <cp:lastModifiedBy>Malak Kamel</cp:lastModifiedBy>
  <cp:revision>5</cp:revision>
  <dcterms:created xsi:type="dcterms:W3CDTF">2018-08-08T09:32:00Z</dcterms:created>
  <dcterms:modified xsi:type="dcterms:W3CDTF">2018-08-08T10:03:00Z</dcterms:modified>
</cp:coreProperties>
</file>