
<file path=[Content_Types].xml><?xml version="1.0" encoding="utf-8"?>
<Types xmlns="http://schemas.openxmlformats.org/package/2006/content-types">
  <Default Extension="xml" ContentType="application/xml"/>
  <Default Extension="tiff" ContentType="image/tiff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91B81B8" w14:textId="77777777" w:rsidR="00392492" w:rsidRDefault="00524F77" w:rsidP="00AF61EB">
      <w:pPr>
        <w:keepNext/>
        <w:rPr>
          <w:rFonts w:eastAsia="MS PGothic"/>
          <w:b/>
          <w:noProof/>
          <w:color w:val="000000"/>
          <w:sz w:val="28"/>
          <w:szCs w:val="28"/>
          <w:lang w:val="pt-PT" w:eastAsia="pt-PT"/>
        </w:rPr>
      </w:pPr>
      <w:r>
        <w:rPr>
          <w:rFonts w:eastAsia="MS PGothic"/>
          <w:b/>
          <w:noProof/>
          <w:color w:val="000000"/>
          <w:sz w:val="28"/>
          <w:szCs w:val="28"/>
          <w:lang w:val="pt-PT" w:eastAsia="pt-PT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020B15AC" wp14:editId="7E4B0D05">
                <wp:simplePos x="0" y="0"/>
                <wp:positionH relativeFrom="column">
                  <wp:posOffset>3990975</wp:posOffset>
                </wp:positionH>
                <wp:positionV relativeFrom="paragraph">
                  <wp:posOffset>123825</wp:posOffset>
                </wp:positionV>
                <wp:extent cx="1781175" cy="1295400"/>
                <wp:effectExtent l="19050" t="19050" r="19050" b="19050"/>
                <wp:wrapNone/>
                <wp:docPr id="2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81175" cy="12954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9BBB59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286EDE79" w14:textId="77777777" w:rsidR="00AF61EB" w:rsidRDefault="00AF61EB">
                            <w:pPr>
                              <w:rPr>
                                <w:lang w:val="en-IN"/>
                              </w:rPr>
                            </w:pPr>
                          </w:p>
                          <w:p w14:paraId="40598B2C" w14:textId="77777777" w:rsidR="00AF61EB" w:rsidRDefault="00392492">
                            <w:pPr>
                              <w:rPr>
                                <w:lang w:val="en-IN"/>
                              </w:rPr>
                            </w:pPr>
                            <w:r w:rsidRPr="00392492">
                              <w:drawing>
                                <wp:inline distT="0" distB="0" distL="0" distR="0" wp14:anchorId="1BE0970F" wp14:editId="120FE767">
                                  <wp:extent cx="1611471" cy="842397"/>
                                  <wp:effectExtent l="0" t="0" r="0" b="0"/>
                                  <wp:docPr id="4" name="Imagem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4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620722" cy="847233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463CDED7" w14:textId="77777777" w:rsidR="00AF61EB" w:rsidRPr="00392492" w:rsidRDefault="00AF61EB">
                            <w:pPr>
                              <w:rPr>
                                <w:rFonts w:eastAsia="Times New Roman"/>
                                <w:lang w:val="pt-PT" w:eastAsia="pt-PT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20B15AC" id="AutoShape 3" o:spid="_x0000_s1026" style="position:absolute;margin-left:314.25pt;margin-top:9.75pt;width:140.25pt;height:102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" strokecolor="#9bbb59" strokeweight="2.5pt">
                <v:shadow color="#868686" opacity="1" mv:blur="0" offset="2pt,2pt"/>
                <v:textbox>
                  <w:txbxContent>
                    <w:p w14:paraId="286EDE79" w14:textId="77777777" w:rsidR="00AF61EB" w:rsidRDefault="00AF61EB">
                      <w:pPr>
                        <w:rPr>
                          <w:lang w:val="en-IN"/>
                        </w:rPr>
                      </w:pPr>
                    </w:p>
                    <w:p w14:paraId="40598B2C" w14:textId="77777777" w:rsidR="00AF61EB" w:rsidRDefault="00392492">
                      <w:pPr>
                        <w:rPr>
                          <w:lang w:val="en-IN"/>
                        </w:rPr>
                      </w:pPr>
                      <w:r w:rsidRPr="00392492">
                        <w:drawing>
                          <wp:inline distT="0" distB="0" distL="0" distR="0" wp14:anchorId="1BE0970F" wp14:editId="120FE767">
                            <wp:extent cx="1611471" cy="842397"/>
                            <wp:effectExtent l="0" t="0" r="0" b="0"/>
                            <wp:docPr id="4" name="Imagem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4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620722" cy="847233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463CDED7" w14:textId="77777777" w:rsidR="00AF61EB" w:rsidRPr="00392492" w:rsidRDefault="00AF61EB">
                      <w:pPr>
                        <w:rPr>
                          <w:rFonts w:eastAsia="Times New Roman"/>
                          <w:lang w:val="pt-PT" w:eastAsia="pt-PT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4F4C268A" w14:textId="77777777" w:rsidR="00AF61EB" w:rsidRDefault="00392492" w:rsidP="00AF61EB">
      <w:pPr>
        <w:keepNext/>
      </w:pPr>
      <w:r w:rsidRPr="00392492">
        <w:rPr>
          <w:noProof/>
          <w:lang w:val="pt-PT" w:eastAsia="pt-PT"/>
        </w:rPr>
        <w:drawing>
          <wp:inline distT="0" distB="0" distL="0" distR="0" wp14:anchorId="203F7919" wp14:editId="3E157D70">
            <wp:extent cx="1765935" cy="1765935"/>
            <wp:effectExtent l="0" t="0" r="12065" b="12065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792241" cy="17922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92492">
        <w:rPr>
          <w:noProof/>
          <w:lang w:val="pt-PT" w:eastAsia="pt-PT"/>
        </w:rPr>
        <w:t xml:space="preserve"> </w:t>
      </w:r>
    </w:p>
    <w:p w14:paraId="48B19B8E" w14:textId="77777777" w:rsidR="00AF61EB" w:rsidRDefault="00AF61EB" w:rsidP="00074C9C">
      <w:pPr>
        <w:rPr>
          <w:rFonts w:eastAsia="MS PGothic"/>
          <w:b/>
          <w:color w:val="000000"/>
          <w:sz w:val="28"/>
          <w:szCs w:val="28"/>
        </w:rPr>
      </w:pPr>
      <w:bookmarkStart w:id="0" w:name="_GoBack"/>
      <w:bookmarkEnd w:id="0"/>
    </w:p>
    <w:p w14:paraId="60A974EB" w14:textId="77777777" w:rsidR="00AF61EB" w:rsidRDefault="00AF61EB" w:rsidP="00074C9C">
      <w:pPr>
        <w:rPr>
          <w:rFonts w:eastAsia="MS PGothic"/>
          <w:b/>
          <w:color w:val="000000"/>
          <w:sz w:val="28"/>
          <w:szCs w:val="28"/>
        </w:rPr>
      </w:pPr>
    </w:p>
    <w:p w14:paraId="5FF74F82" w14:textId="77777777" w:rsidR="00074C9C" w:rsidRPr="00B22DE8" w:rsidRDefault="00B22DE8" w:rsidP="00074C9C">
      <w:pPr>
        <w:rPr>
          <w:rFonts w:eastAsia="MS PGothic"/>
          <w:b/>
          <w:color w:val="000000"/>
          <w:sz w:val="28"/>
          <w:szCs w:val="28"/>
        </w:rPr>
      </w:pPr>
      <w:r w:rsidRPr="00B22DE8">
        <w:rPr>
          <w:b/>
          <w:sz w:val="28"/>
          <w:szCs w:val="28"/>
        </w:rPr>
        <w:t>Mycophenolate Mofetil trough levels in kidney transplant- what are we missing?</w:t>
      </w:r>
    </w:p>
    <w:p w14:paraId="2DB21CE6" w14:textId="77777777" w:rsidR="005B4B32" w:rsidRPr="00B22DE8" w:rsidRDefault="00074C9C" w:rsidP="00074C9C">
      <w:pPr>
        <w:rPr>
          <w:rFonts w:eastAsia="MS PGothic" w:hAnsi="Arial"/>
          <w:color w:val="000000"/>
          <w:lang w:val="pt-PT"/>
        </w:rPr>
      </w:pPr>
      <w:r w:rsidRPr="00B22DE8">
        <w:rPr>
          <w:rFonts w:eastAsia="MS PGothic" w:hAnsi="Arial"/>
          <w:color w:val="000000"/>
          <w:lang w:val="pt-PT"/>
        </w:rPr>
        <w:br/>
      </w:r>
      <w:r w:rsidR="00B22DE8" w:rsidRPr="00B22DE8">
        <w:rPr>
          <w:u w:val="single"/>
          <w:lang w:val="pt-PT"/>
        </w:rPr>
        <w:t>Carla Leal Moreira</w:t>
      </w:r>
      <w:r w:rsidR="00B22DE8" w:rsidRPr="00B22DE8">
        <w:rPr>
          <w:vertAlign w:val="superscript"/>
          <w:lang w:val="pt-PT"/>
        </w:rPr>
        <w:t>1</w:t>
      </w:r>
      <w:r w:rsidR="00B22DE8" w:rsidRPr="00B22DE8">
        <w:rPr>
          <w:lang w:val="pt-PT"/>
        </w:rPr>
        <w:t>, Mafalda Felgueiras</w:t>
      </w:r>
      <w:r w:rsidR="00B22DE8" w:rsidRPr="00B22DE8">
        <w:rPr>
          <w:vertAlign w:val="superscript"/>
          <w:lang w:val="pt-PT"/>
        </w:rPr>
        <w:t>2</w:t>
      </w:r>
      <w:r w:rsidR="00B22DE8" w:rsidRPr="00B22DE8">
        <w:rPr>
          <w:lang w:val="pt-PT"/>
        </w:rPr>
        <w:t>, Cristina Freitas</w:t>
      </w:r>
      <w:r w:rsidR="00B22DE8" w:rsidRPr="00B22DE8">
        <w:rPr>
          <w:vertAlign w:val="superscript"/>
          <w:lang w:val="pt-PT"/>
        </w:rPr>
        <w:t>1</w:t>
      </w:r>
      <w:r w:rsidR="00B22DE8" w:rsidRPr="00B22DE8">
        <w:rPr>
          <w:lang w:val="pt-PT"/>
        </w:rPr>
        <w:t>, Henrique Reguenga</w:t>
      </w:r>
      <w:r w:rsidR="00B22DE8" w:rsidRPr="00B22DE8">
        <w:rPr>
          <w:vertAlign w:val="superscript"/>
          <w:lang w:val="pt-PT"/>
        </w:rPr>
        <w:t>2</w:t>
      </w:r>
      <w:r w:rsidR="00B22DE8" w:rsidRPr="00B22DE8">
        <w:rPr>
          <w:lang w:val="pt-PT"/>
        </w:rPr>
        <w:t>, Pedro Tavares</w:t>
      </w:r>
      <w:r w:rsidR="00B22DE8" w:rsidRPr="00B22DE8">
        <w:rPr>
          <w:vertAlign w:val="superscript"/>
          <w:lang w:val="pt-PT"/>
        </w:rPr>
        <w:t>3</w:t>
      </w:r>
      <w:r w:rsidR="00B22DE8" w:rsidRPr="00B22DE8">
        <w:rPr>
          <w:lang w:val="pt-PT"/>
        </w:rPr>
        <w:t>, João Pimentel</w:t>
      </w:r>
      <w:r w:rsidR="00B22DE8" w:rsidRPr="00B22DE8">
        <w:rPr>
          <w:vertAlign w:val="superscript"/>
          <w:lang w:val="pt-PT"/>
        </w:rPr>
        <w:t>1</w:t>
      </w:r>
      <w:r w:rsidR="00B22DE8" w:rsidRPr="00B22DE8">
        <w:rPr>
          <w:lang w:val="pt-PT"/>
        </w:rPr>
        <w:t>, Ana Castro</w:t>
      </w:r>
      <w:r w:rsidR="00B22DE8" w:rsidRPr="00B22DE8">
        <w:rPr>
          <w:vertAlign w:val="superscript"/>
          <w:lang w:val="pt-PT"/>
        </w:rPr>
        <w:t>1</w:t>
      </w:r>
      <w:r w:rsidR="00B22DE8" w:rsidRPr="00B22DE8">
        <w:rPr>
          <w:lang w:val="pt-PT"/>
        </w:rPr>
        <w:t>, Sofia Santos</w:t>
      </w:r>
      <w:r w:rsidR="00B22DE8" w:rsidRPr="00B22DE8">
        <w:rPr>
          <w:vertAlign w:val="superscript"/>
          <w:lang w:val="pt-PT"/>
        </w:rPr>
        <w:t>1</w:t>
      </w:r>
      <w:r w:rsidR="00B22DE8" w:rsidRPr="00B22DE8">
        <w:rPr>
          <w:lang w:val="pt-PT"/>
        </w:rPr>
        <w:t>, Andreia Campos</w:t>
      </w:r>
      <w:r w:rsidR="00B22DE8" w:rsidRPr="00B22DE8">
        <w:rPr>
          <w:vertAlign w:val="superscript"/>
          <w:lang w:val="pt-PT"/>
        </w:rPr>
        <w:t>1</w:t>
      </w:r>
      <w:r w:rsidR="00B22DE8" w:rsidRPr="00B22DE8">
        <w:rPr>
          <w:lang w:val="pt-PT"/>
        </w:rPr>
        <w:t>, Jorge Malheiro</w:t>
      </w:r>
      <w:r w:rsidR="00B22DE8" w:rsidRPr="00B22DE8">
        <w:rPr>
          <w:vertAlign w:val="superscript"/>
          <w:lang w:val="pt-PT"/>
        </w:rPr>
        <w:t>1</w:t>
      </w:r>
      <w:r w:rsidR="00B22DE8" w:rsidRPr="00B22DE8">
        <w:rPr>
          <w:lang w:val="pt-PT"/>
        </w:rPr>
        <w:t>,</w:t>
      </w:r>
      <w:r w:rsidR="00B22DE8" w:rsidRPr="00B22DE8">
        <w:rPr>
          <w:vertAlign w:val="superscript"/>
          <w:lang w:val="pt-PT"/>
        </w:rPr>
        <w:t xml:space="preserve"> </w:t>
      </w:r>
      <w:r w:rsidR="00B22DE8" w:rsidRPr="00B22DE8">
        <w:rPr>
          <w:lang w:val="pt-PT"/>
        </w:rPr>
        <w:t>Josefina Santos</w:t>
      </w:r>
      <w:r w:rsidR="00B22DE8" w:rsidRPr="00B22DE8">
        <w:rPr>
          <w:vertAlign w:val="superscript"/>
          <w:lang w:val="pt-PT"/>
        </w:rPr>
        <w:t>1</w:t>
      </w:r>
      <w:r w:rsidR="00B22DE8" w:rsidRPr="00B22DE8">
        <w:rPr>
          <w:lang w:val="pt-PT"/>
        </w:rPr>
        <w:t>, Manuela Almeida</w:t>
      </w:r>
      <w:r w:rsidR="00B22DE8" w:rsidRPr="00B22DE8">
        <w:rPr>
          <w:vertAlign w:val="superscript"/>
          <w:lang w:val="pt-PT"/>
        </w:rPr>
        <w:t>1</w:t>
      </w:r>
      <w:r w:rsidR="00B22DE8" w:rsidRPr="00B22DE8">
        <w:rPr>
          <w:lang w:val="pt-PT"/>
        </w:rPr>
        <w:t>, Sofia Pedroso</w:t>
      </w:r>
      <w:r w:rsidR="00B22DE8" w:rsidRPr="00B22DE8">
        <w:rPr>
          <w:vertAlign w:val="superscript"/>
          <w:lang w:val="pt-PT"/>
        </w:rPr>
        <w:t>1</w:t>
      </w:r>
      <w:r w:rsidR="00B22DE8" w:rsidRPr="00B22DE8">
        <w:rPr>
          <w:lang w:val="pt-PT"/>
        </w:rPr>
        <w:t>, Leonídio Dias</w:t>
      </w:r>
      <w:r w:rsidR="00B22DE8" w:rsidRPr="00B22DE8">
        <w:rPr>
          <w:vertAlign w:val="superscript"/>
          <w:lang w:val="pt-PT"/>
        </w:rPr>
        <w:t>1</w:t>
      </w:r>
      <w:r w:rsidR="00B22DE8" w:rsidRPr="00B22DE8">
        <w:rPr>
          <w:lang w:val="pt-PT"/>
        </w:rPr>
        <w:t>, La Salete Martins</w:t>
      </w:r>
      <w:r w:rsidR="00B22DE8" w:rsidRPr="00B22DE8">
        <w:rPr>
          <w:vertAlign w:val="superscript"/>
          <w:lang w:val="pt-PT"/>
        </w:rPr>
        <w:t>1</w:t>
      </w:r>
      <w:r w:rsidR="00B22DE8" w:rsidRPr="00B22DE8">
        <w:rPr>
          <w:lang w:val="pt-PT"/>
        </w:rPr>
        <w:t>, José Carlos Oliveira</w:t>
      </w:r>
      <w:r w:rsidR="00B22DE8" w:rsidRPr="00B22DE8">
        <w:rPr>
          <w:vertAlign w:val="superscript"/>
          <w:lang w:val="pt-PT"/>
        </w:rPr>
        <w:t>2</w:t>
      </w:r>
      <w:r w:rsidR="00B22DE8" w:rsidRPr="00B22DE8">
        <w:rPr>
          <w:lang w:val="pt-PT"/>
        </w:rPr>
        <w:t>, António Castro Henriques</w:t>
      </w:r>
      <w:r w:rsidR="00B22DE8" w:rsidRPr="00B22DE8">
        <w:rPr>
          <w:vertAlign w:val="superscript"/>
          <w:lang w:val="pt-PT"/>
        </w:rPr>
        <w:t>1</w:t>
      </w:r>
      <w:r w:rsidR="00B22DE8" w:rsidRPr="00B22DE8">
        <w:rPr>
          <w:lang w:val="pt-PT"/>
        </w:rPr>
        <w:t>, António Cabrita</w:t>
      </w:r>
      <w:r w:rsidR="00B22DE8" w:rsidRPr="00B22DE8">
        <w:rPr>
          <w:vertAlign w:val="superscript"/>
          <w:lang w:val="pt-PT"/>
        </w:rPr>
        <w:t>1</w:t>
      </w:r>
    </w:p>
    <w:p w14:paraId="250B61E6" w14:textId="77777777" w:rsidR="008E2F78" w:rsidRPr="00B22DE8" w:rsidRDefault="008E2F78" w:rsidP="003A3C5A">
      <w:pPr>
        <w:rPr>
          <w:rFonts w:eastAsia="MS PGothic" w:hAnsi="Arial"/>
          <w:color w:val="000000"/>
          <w:lang w:val="pt-PT"/>
        </w:rPr>
      </w:pPr>
    </w:p>
    <w:p w14:paraId="40B76CD3" w14:textId="77777777" w:rsidR="00B22DE8" w:rsidRPr="00B22DE8" w:rsidRDefault="00B22DE8" w:rsidP="00B22DE8">
      <w:pPr>
        <w:jc w:val="center"/>
        <w:rPr>
          <w:lang w:val="pt-PT"/>
        </w:rPr>
      </w:pPr>
      <w:r w:rsidRPr="00B22DE8">
        <w:rPr>
          <w:vertAlign w:val="superscript"/>
          <w:lang w:val="pt-PT"/>
        </w:rPr>
        <w:t>1</w:t>
      </w:r>
      <w:r w:rsidRPr="00B22DE8">
        <w:rPr>
          <w:lang w:val="pt-PT"/>
        </w:rPr>
        <w:t xml:space="preserve">Nephrology </w:t>
      </w:r>
      <w:proofErr w:type="spellStart"/>
      <w:r w:rsidRPr="00B22DE8">
        <w:rPr>
          <w:lang w:val="pt-PT"/>
        </w:rPr>
        <w:t>Department</w:t>
      </w:r>
      <w:proofErr w:type="spellEnd"/>
      <w:r w:rsidRPr="00B22DE8">
        <w:rPr>
          <w:lang w:val="pt-PT"/>
        </w:rPr>
        <w:t>, Centro Hospitalar do Porto</w:t>
      </w:r>
    </w:p>
    <w:p w14:paraId="57D6C44D" w14:textId="77777777" w:rsidR="00B22DE8" w:rsidRPr="00B22DE8" w:rsidRDefault="00B22DE8" w:rsidP="00B22DE8">
      <w:pPr>
        <w:jc w:val="center"/>
        <w:rPr>
          <w:lang w:val="pt-PT"/>
        </w:rPr>
      </w:pPr>
      <w:r w:rsidRPr="00B22DE8">
        <w:rPr>
          <w:vertAlign w:val="superscript"/>
          <w:lang w:val="pt-PT"/>
        </w:rPr>
        <w:t>2</w:t>
      </w:r>
      <w:r w:rsidRPr="00B22DE8">
        <w:rPr>
          <w:lang w:val="pt-PT"/>
        </w:rPr>
        <w:t xml:space="preserve">Pathology </w:t>
      </w:r>
      <w:proofErr w:type="spellStart"/>
      <w:r w:rsidRPr="00B22DE8">
        <w:rPr>
          <w:lang w:val="pt-PT"/>
        </w:rPr>
        <w:t>Department</w:t>
      </w:r>
      <w:proofErr w:type="spellEnd"/>
      <w:r w:rsidRPr="00B22DE8">
        <w:rPr>
          <w:lang w:val="pt-PT"/>
        </w:rPr>
        <w:t>, Centro Hospitalar do Porto</w:t>
      </w:r>
    </w:p>
    <w:p w14:paraId="65359C28" w14:textId="77777777" w:rsidR="00B22DE8" w:rsidRPr="00B22DE8" w:rsidRDefault="00B22DE8" w:rsidP="00B22DE8">
      <w:pPr>
        <w:jc w:val="center"/>
        <w:rPr>
          <w:lang w:val="pt-PT"/>
        </w:rPr>
      </w:pPr>
      <w:r w:rsidRPr="00B22DE8">
        <w:rPr>
          <w:vertAlign w:val="superscript"/>
          <w:lang w:val="pt-PT"/>
        </w:rPr>
        <w:t>3</w:t>
      </w:r>
      <w:r w:rsidRPr="00B22DE8">
        <w:rPr>
          <w:lang w:val="pt-PT"/>
        </w:rPr>
        <w:t xml:space="preserve">Internal Medicine </w:t>
      </w:r>
      <w:proofErr w:type="spellStart"/>
      <w:r w:rsidRPr="00B22DE8">
        <w:rPr>
          <w:lang w:val="pt-PT"/>
        </w:rPr>
        <w:t>Department</w:t>
      </w:r>
      <w:proofErr w:type="spellEnd"/>
      <w:r w:rsidRPr="00B22DE8">
        <w:rPr>
          <w:lang w:val="pt-PT"/>
        </w:rPr>
        <w:t>, Centro Hospitalar de Leiria</w:t>
      </w:r>
    </w:p>
    <w:p w14:paraId="54B490BC" w14:textId="77777777" w:rsidR="00DC433A" w:rsidRPr="00B22DE8" w:rsidRDefault="00DC433A" w:rsidP="00DC433A">
      <w:pPr>
        <w:rPr>
          <w:rFonts w:eastAsia="MS PGothic" w:hAnsi="Arial"/>
          <w:color w:val="000000"/>
          <w:lang w:val="pt-PT"/>
        </w:rPr>
      </w:pPr>
    </w:p>
    <w:p w14:paraId="2E214CD9" w14:textId="77777777" w:rsidR="00DC433A" w:rsidRPr="00B22DE8" w:rsidRDefault="00DC433A" w:rsidP="00DC433A">
      <w:pPr>
        <w:jc w:val="center"/>
        <w:rPr>
          <w:color w:val="0000FF"/>
          <w:sz w:val="36"/>
          <w:szCs w:val="36"/>
          <w:lang w:val="pt-PT"/>
        </w:rPr>
      </w:pPr>
    </w:p>
    <w:p w14:paraId="4E8DDE6C" w14:textId="77777777" w:rsidR="00B22DE8" w:rsidRPr="00B22DE8" w:rsidRDefault="00B22DE8" w:rsidP="000C15E8">
      <w:pPr>
        <w:widowControl w:val="0"/>
        <w:autoSpaceDE w:val="0"/>
        <w:autoSpaceDN w:val="0"/>
        <w:adjustRightInd w:val="0"/>
        <w:spacing w:after="240" w:line="280" w:lineRule="atLeast"/>
        <w:rPr>
          <w:rFonts w:ascii="Times" w:eastAsia="Calibri" w:hAnsi="Times" w:cs="Times"/>
          <w:lang w:eastAsia="en-US"/>
        </w:rPr>
      </w:pPr>
      <w:r w:rsidRPr="0083181C">
        <w:rPr>
          <w:rFonts w:ascii="Times" w:eastAsia="Calibri" w:hAnsi="Times" w:cs="Times"/>
          <w:b/>
          <w:color w:val="201F1F"/>
          <w:lang w:eastAsia="en-US"/>
        </w:rPr>
        <w:t>Introduction</w:t>
      </w:r>
      <w:r w:rsidRPr="00B22DE8">
        <w:rPr>
          <w:rFonts w:ascii="Times" w:eastAsia="Calibri" w:hAnsi="Times" w:cs="Times"/>
          <w:color w:val="201F1F"/>
          <w:lang w:eastAsia="en-US"/>
        </w:rPr>
        <w:t xml:space="preserve">: </w:t>
      </w:r>
      <w:r w:rsidR="000C15E8" w:rsidRPr="000C15E8">
        <w:rPr>
          <w:rFonts w:ascii="Times" w:eastAsia="Calibri" w:hAnsi="Times" w:cs="Times"/>
          <w:lang w:eastAsia="en-US"/>
        </w:rPr>
        <w:t>Mycophenolic acid trough concentration monitoring</w:t>
      </w:r>
      <w:r w:rsidR="000C15E8">
        <w:rPr>
          <w:rFonts w:ascii="Times" w:eastAsia="Calibri" w:hAnsi="Times" w:cs="Times"/>
          <w:lang w:eastAsia="en-US"/>
        </w:rPr>
        <w:t xml:space="preserve"> has been advocated to be</w:t>
      </w:r>
      <w:r w:rsidR="000C15E8" w:rsidRPr="000C15E8">
        <w:rPr>
          <w:rFonts w:ascii="Times" w:eastAsia="Calibri" w:hAnsi="Times" w:cs="Times"/>
          <w:lang w:eastAsia="en-US"/>
        </w:rPr>
        <w:t xml:space="preserve"> useful in prev</w:t>
      </w:r>
      <w:r w:rsidR="000C15E8">
        <w:rPr>
          <w:rFonts w:ascii="Times" w:eastAsia="Calibri" w:hAnsi="Times" w:cs="Times"/>
          <w:lang w:eastAsia="en-US"/>
        </w:rPr>
        <w:t>enting acute cellular rejection</w:t>
      </w:r>
      <w:r w:rsidR="000C15E8">
        <w:rPr>
          <w:rFonts w:ascii="Times" w:eastAsia="Calibri" w:hAnsi="Times" w:cs="Times"/>
          <w:vertAlign w:val="superscript"/>
          <w:lang w:eastAsia="en-US"/>
        </w:rPr>
        <w:t>1</w:t>
      </w:r>
      <w:r w:rsidR="000C15E8">
        <w:rPr>
          <w:rFonts w:ascii="Times" w:eastAsia="Calibri" w:hAnsi="Times" w:cs="Times"/>
          <w:lang w:eastAsia="en-US"/>
        </w:rPr>
        <w:t>. We aimed</w:t>
      </w:r>
      <w:r w:rsidR="000C15E8">
        <w:rPr>
          <w:rFonts w:ascii="Times" w:eastAsia="Calibri" w:hAnsi="Times" w:cs="Times"/>
          <w:color w:val="201F1F"/>
          <w:lang w:eastAsia="en-US"/>
        </w:rPr>
        <w:t xml:space="preserve"> to assess</w:t>
      </w:r>
      <w:r w:rsidRPr="00B22DE8">
        <w:rPr>
          <w:rFonts w:ascii="Times" w:eastAsia="Calibri" w:hAnsi="Times" w:cs="Times"/>
          <w:color w:val="201F1F"/>
          <w:lang w:eastAsia="en-US"/>
        </w:rPr>
        <w:t xml:space="preserve"> mycophenolic</w:t>
      </w:r>
      <w:r w:rsidR="0083181C">
        <w:rPr>
          <w:rFonts w:ascii="Times" w:eastAsia="Calibri" w:hAnsi="Times" w:cs="Times"/>
          <w:color w:val="201F1F"/>
          <w:lang w:eastAsia="en-US"/>
        </w:rPr>
        <w:t xml:space="preserve"> acid (MPA) </w:t>
      </w:r>
      <w:r w:rsidR="000C15E8">
        <w:rPr>
          <w:rFonts w:ascii="Times" w:eastAsia="Calibri" w:hAnsi="Times" w:cs="Times"/>
          <w:color w:val="201F1F"/>
          <w:lang w:eastAsia="en-US"/>
        </w:rPr>
        <w:t>trough level’s impact in the risk of</w:t>
      </w:r>
      <w:r w:rsidRPr="00B22DE8">
        <w:rPr>
          <w:rFonts w:ascii="Times" w:eastAsia="Calibri" w:hAnsi="Times" w:cs="Times"/>
          <w:color w:val="201F1F"/>
          <w:lang w:eastAsia="en-US"/>
        </w:rPr>
        <w:t xml:space="preserve"> infection, kidney graft dysfunction and rejection. </w:t>
      </w:r>
    </w:p>
    <w:p w14:paraId="339ABAEA" w14:textId="77777777" w:rsidR="00B22DE8" w:rsidRPr="00B22DE8" w:rsidRDefault="00B22DE8" w:rsidP="00B22DE8">
      <w:pPr>
        <w:widowControl w:val="0"/>
        <w:autoSpaceDE w:val="0"/>
        <w:autoSpaceDN w:val="0"/>
        <w:adjustRightInd w:val="0"/>
        <w:spacing w:after="240" w:line="280" w:lineRule="atLeast"/>
        <w:jc w:val="both"/>
        <w:rPr>
          <w:rFonts w:ascii="Times" w:eastAsia="Calibri" w:hAnsi="Times" w:cs="Times"/>
          <w:lang w:eastAsia="en-US"/>
        </w:rPr>
      </w:pPr>
      <w:r w:rsidRPr="0083181C">
        <w:rPr>
          <w:rFonts w:ascii="Times" w:eastAsia="Calibri" w:hAnsi="Times" w:cs="Times"/>
          <w:b/>
          <w:color w:val="201F1F"/>
          <w:lang w:eastAsia="en-US"/>
        </w:rPr>
        <w:t>Methods</w:t>
      </w:r>
      <w:r w:rsidRPr="00B22DE8">
        <w:rPr>
          <w:rFonts w:ascii="Times" w:eastAsia="Calibri" w:hAnsi="Times" w:cs="Times"/>
          <w:color w:val="201F1F"/>
          <w:lang w:eastAsia="en-US"/>
        </w:rPr>
        <w:t>: We</w:t>
      </w:r>
      <w:r w:rsidR="000C15E8">
        <w:rPr>
          <w:rFonts w:ascii="Times" w:eastAsia="Calibri" w:hAnsi="Times" w:cs="Times"/>
          <w:color w:val="201F1F"/>
          <w:lang w:eastAsia="en-US"/>
        </w:rPr>
        <w:t xml:space="preserve"> conducted a cross-sectional study,</w:t>
      </w:r>
      <w:r w:rsidRPr="00B22DE8">
        <w:rPr>
          <w:rFonts w:ascii="Times" w:eastAsia="Calibri" w:hAnsi="Times" w:cs="Times"/>
          <w:color w:val="201F1F"/>
          <w:lang w:eastAsia="en-US"/>
        </w:rPr>
        <w:t xml:space="preserve"> </w:t>
      </w:r>
      <w:r w:rsidR="000C15E8">
        <w:rPr>
          <w:rFonts w:ascii="Times" w:eastAsia="Calibri" w:hAnsi="Times" w:cs="Times"/>
          <w:color w:val="201F1F"/>
          <w:lang w:eastAsia="en-US"/>
        </w:rPr>
        <w:t xml:space="preserve">assessing a single </w:t>
      </w:r>
      <w:r w:rsidR="000C15E8">
        <w:rPr>
          <w:rFonts w:ascii="Times" w:eastAsia="Calibri" w:hAnsi="Times" w:cs="Times"/>
          <w:color w:val="201F1F"/>
          <w:lang w:eastAsia="en-US"/>
        </w:rPr>
        <w:t>MPA</w:t>
      </w:r>
      <w:r w:rsidR="000C15E8" w:rsidRPr="00B22DE8">
        <w:rPr>
          <w:rFonts w:ascii="Times" w:eastAsia="Calibri" w:hAnsi="Times" w:cs="Times"/>
          <w:color w:val="201F1F"/>
          <w:lang w:eastAsia="en-US"/>
        </w:rPr>
        <w:t xml:space="preserve"> trough conc</w:t>
      </w:r>
      <w:r w:rsidR="000C15E8">
        <w:rPr>
          <w:rFonts w:ascii="Times" w:eastAsia="Calibri" w:hAnsi="Times" w:cs="Times"/>
          <w:color w:val="201F1F"/>
          <w:lang w:eastAsia="en-US"/>
        </w:rPr>
        <w:t>entration,</w:t>
      </w:r>
      <w:r w:rsidR="000C15E8">
        <w:rPr>
          <w:rFonts w:ascii="Times" w:eastAsia="Calibri" w:hAnsi="Times" w:cs="Times"/>
          <w:color w:val="201F1F"/>
          <w:lang w:eastAsia="en-US"/>
        </w:rPr>
        <w:t xml:space="preserve"> using high-</w:t>
      </w:r>
      <w:r w:rsidR="000C15E8" w:rsidRPr="00B22DE8">
        <w:rPr>
          <w:rFonts w:ascii="Times" w:eastAsia="Calibri" w:hAnsi="Times" w:cs="Times"/>
          <w:color w:val="201F1F"/>
          <w:lang w:eastAsia="en-US"/>
        </w:rPr>
        <w:t>performance liquid chromatography (</w:t>
      </w:r>
      <w:proofErr w:type="spellStart"/>
      <w:r w:rsidR="000C15E8" w:rsidRPr="00B22DE8">
        <w:rPr>
          <w:rFonts w:ascii="Times" w:eastAsia="Calibri" w:hAnsi="Times" w:cs="Times"/>
          <w:color w:val="201F1F"/>
          <w:lang w:eastAsia="en-US"/>
        </w:rPr>
        <w:t>Argilent</w:t>
      </w:r>
      <w:proofErr w:type="spellEnd"/>
      <w:r w:rsidR="000C15E8" w:rsidRPr="00B22DE8">
        <w:rPr>
          <w:rFonts w:ascii="Times" w:eastAsia="Calibri" w:hAnsi="Times" w:cs="Times"/>
          <w:color w:val="201F1F"/>
          <w:lang w:eastAsia="en-US"/>
        </w:rPr>
        <w:t>®, 1100 series)</w:t>
      </w:r>
      <w:r w:rsidR="000C15E8">
        <w:rPr>
          <w:rFonts w:ascii="Times" w:eastAsia="Calibri" w:hAnsi="Times" w:cs="Times"/>
          <w:color w:val="201F1F"/>
          <w:lang w:eastAsia="en-US"/>
        </w:rPr>
        <w:t xml:space="preserve">, in </w:t>
      </w:r>
      <w:r w:rsidR="0083181C">
        <w:rPr>
          <w:rFonts w:ascii="Times" w:eastAsia="Calibri" w:hAnsi="Times" w:cs="Times"/>
          <w:color w:val="201F1F"/>
          <w:lang w:eastAsia="en-US"/>
        </w:rPr>
        <w:t xml:space="preserve">stable kidney transplant recipients </w:t>
      </w:r>
      <w:r w:rsidRPr="00B22DE8">
        <w:rPr>
          <w:rFonts w:ascii="Times" w:eastAsia="Calibri" w:hAnsi="Times" w:cs="Times"/>
          <w:color w:val="201F1F"/>
          <w:lang w:eastAsia="en-US"/>
        </w:rPr>
        <w:t>observed</w:t>
      </w:r>
      <w:r w:rsidR="000C15E8">
        <w:rPr>
          <w:rFonts w:ascii="Times" w:eastAsia="Calibri" w:hAnsi="Times" w:cs="Times"/>
          <w:color w:val="201F1F"/>
          <w:lang w:eastAsia="en-US"/>
        </w:rPr>
        <w:t xml:space="preserve"> at our outpatient clinic,</w:t>
      </w:r>
      <w:r w:rsidRPr="00B22DE8">
        <w:rPr>
          <w:rFonts w:ascii="Times" w:eastAsia="Calibri" w:hAnsi="Times" w:cs="Times"/>
          <w:color w:val="201F1F"/>
          <w:lang w:eastAsia="en-US"/>
        </w:rPr>
        <w:t xml:space="preserve"> in a week of October 2017. </w:t>
      </w:r>
    </w:p>
    <w:p w14:paraId="52016924" w14:textId="77777777" w:rsidR="00B22DE8" w:rsidRPr="00B22DE8" w:rsidRDefault="00B22DE8" w:rsidP="00B22DE8">
      <w:pPr>
        <w:widowControl w:val="0"/>
        <w:autoSpaceDE w:val="0"/>
        <w:autoSpaceDN w:val="0"/>
        <w:adjustRightInd w:val="0"/>
        <w:spacing w:after="240" w:line="280" w:lineRule="atLeast"/>
        <w:jc w:val="both"/>
        <w:rPr>
          <w:rFonts w:ascii="Times" w:eastAsia="Calibri" w:hAnsi="Times" w:cs="Times"/>
          <w:lang w:eastAsia="en-US"/>
        </w:rPr>
      </w:pPr>
      <w:r w:rsidRPr="0083181C">
        <w:rPr>
          <w:rFonts w:ascii="Times" w:eastAsia="Calibri" w:hAnsi="Times" w:cs="Times"/>
          <w:b/>
          <w:color w:val="201F1F"/>
          <w:lang w:eastAsia="en-US"/>
        </w:rPr>
        <w:t>Results</w:t>
      </w:r>
      <w:r w:rsidRPr="00B22DE8">
        <w:rPr>
          <w:rFonts w:ascii="Times" w:eastAsia="Calibri" w:hAnsi="Times" w:cs="Times"/>
          <w:color w:val="201F1F"/>
          <w:lang w:eastAsia="en-US"/>
        </w:rPr>
        <w:t>: In our cohort of 91 patients, female patients represented 42.3% (</w:t>
      </w:r>
      <w:r w:rsidR="00EC3D56">
        <w:rPr>
          <w:rFonts w:ascii="Times" w:eastAsia="Calibri" w:hAnsi="Times" w:cs="Times"/>
          <w:color w:val="201F1F"/>
          <w:lang w:eastAsia="en-US"/>
        </w:rPr>
        <w:t>n=39), with</w:t>
      </w:r>
      <w:r w:rsidRPr="00B22DE8">
        <w:rPr>
          <w:rFonts w:ascii="Times" w:eastAsia="Calibri" w:hAnsi="Times" w:cs="Times"/>
          <w:color w:val="201F1F"/>
          <w:lang w:eastAsia="en-US"/>
        </w:rPr>
        <w:t xml:space="preserve"> me</w:t>
      </w:r>
      <w:r w:rsidR="00EC3D56">
        <w:rPr>
          <w:rFonts w:ascii="Times" w:eastAsia="Calibri" w:hAnsi="Times" w:cs="Times"/>
          <w:color w:val="201F1F"/>
          <w:lang w:eastAsia="en-US"/>
        </w:rPr>
        <w:t>an age of 51.9 ± 11.9yo</w:t>
      </w:r>
      <w:r w:rsidRPr="00B22DE8">
        <w:rPr>
          <w:rFonts w:ascii="Times" w:eastAsia="Calibri" w:hAnsi="Times" w:cs="Times"/>
          <w:color w:val="201F1F"/>
          <w:lang w:eastAsia="en-US"/>
        </w:rPr>
        <w:t xml:space="preserve">. Most patients </w:t>
      </w:r>
      <w:r w:rsidR="00EC3D56">
        <w:rPr>
          <w:rFonts w:ascii="Times" w:eastAsia="Calibri" w:hAnsi="Times" w:cs="Times"/>
          <w:color w:val="201F1F"/>
          <w:lang w:eastAsia="en-US"/>
        </w:rPr>
        <w:t>received a</w:t>
      </w:r>
      <w:r w:rsidRPr="00B22DE8">
        <w:rPr>
          <w:rFonts w:ascii="Times" w:eastAsia="Calibri" w:hAnsi="Times" w:cs="Times"/>
          <w:color w:val="201F1F"/>
          <w:lang w:eastAsia="en-US"/>
        </w:rPr>
        <w:t xml:space="preserve"> deceased donor </w:t>
      </w:r>
      <w:r w:rsidR="00EC3D56">
        <w:rPr>
          <w:rFonts w:ascii="Times" w:eastAsia="Calibri" w:hAnsi="Times" w:cs="Times"/>
          <w:color w:val="201F1F"/>
          <w:lang w:eastAsia="en-US"/>
        </w:rPr>
        <w:t xml:space="preserve">kidney </w:t>
      </w:r>
      <w:r w:rsidRPr="00B22DE8">
        <w:rPr>
          <w:rFonts w:ascii="Times" w:eastAsia="Calibri" w:hAnsi="Times" w:cs="Times"/>
          <w:color w:val="201F1F"/>
          <w:lang w:eastAsia="en-US"/>
        </w:rPr>
        <w:t>(n=58, 75.3%)</w:t>
      </w:r>
      <w:r w:rsidR="00EC3D56">
        <w:rPr>
          <w:rFonts w:ascii="Times" w:eastAsia="Calibri" w:hAnsi="Times" w:cs="Times"/>
          <w:color w:val="201F1F"/>
          <w:lang w:eastAsia="en-US"/>
        </w:rPr>
        <w:t xml:space="preserve"> and </w:t>
      </w:r>
      <w:r w:rsidRPr="00B22DE8">
        <w:rPr>
          <w:rFonts w:ascii="Times" w:eastAsia="Calibri" w:hAnsi="Times" w:cs="Times"/>
          <w:color w:val="201F1F"/>
          <w:lang w:eastAsia="en-US"/>
        </w:rPr>
        <w:t>m</w:t>
      </w:r>
      <w:r w:rsidR="00EC3D56">
        <w:rPr>
          <w:rFonts w:ascii="Times" w:eastAsia="Calibri" w:hAnsi="Times" w:cs="Times"/>
          <w:color w:val="201F1F"/>
          <w:lang w:eastAsia="en-US"/>
        </w:rPr>
        <w:t>edian kidney graft follow-up of</w:t>
      </w:r>
      <w:r w:rsidRPr="00B22DE8">
        <w:rPr>
          <w:rFonts w:ascii="Times" w:eastAsia="Calibri" w:hAnsi="Times" w:cs="Times"/>
          <w:color w:val="201F1F"/>
          <w:lang w:eastAsia="en-US"/>
        </w:rPr>
        <w:t xml:space="preserve"> 8.5 (IQR 3.1-11.6) years. Seventy-nine patients received triple maintenance regimen, 76 (83,5%) </w:t>
      </w:r>
      <w:r w:rsidR="000C15E8">
        <w:rPr>
          <w:rFonts w:ascii="Times" w:eastAsia="Calibri" w:hAnsi="Times" w:cs="Times"/>
          <w:color w:val="201F1F"/>
          <w:lang w:eastAsia="en-US"/>
        </w:rPr>
        <w:t xml:space="preserve">patients received tacrolimus, while 15 (16.5%) </w:t>
      </w:r>
      <w:r w:rsidRPr="00B22DE8">
        <w:rPr>
          <w:rFonts w:ascii="Times" w:eastAsia="Calibri" w:hAnsi="Times" w:cs="Times"/>
          <w:color w:val="201F1F"/>
          <w:lang w:eastAsia="en-US"/>
        </w:rPr>
        <w:t>were treated with</w:t>
      </w:r>
      <w:r w:rsidR="00EC3D56">
        <w:rPr>
          <w:rFonts w:ascii="Times" w:eastAsia="Calibri" w:hAnsi="Times" w:cs="Times"/>
          <w:color w:val="201F1F"/>
          <w:lang w:eastAsia="en-US"/>
        </w:rPr>
        <w:t xml:space="preserve"> cyclosporine. MPA</w:t>
      </w:r>
      <w:r w:rsidRPr="00B22DE8">
        <w:rPr>
          <w:rFonts w:ascii="Times" w:eastAsia="Calibri" w:hAnsi="Times" w:cs="Times"/>
          <w:color w:val="201F1F"/>
          <w:lang w:eastAsia="en-US"/>
        </w:rPr>
        <w:t xml:space="preserve"> was provided as enteric-coated mycophenolate sodium (EC-MPS) formula in 21 (23.1%) patients and as mycophenolate mofetil (MMF) in 70 (76.9%) cases. Median MPA trough level was 2.0mg/L (IQR 1.2-2.96) and median tacrolimus trough level was 7.2ng/mL (IQR 5.9-9.5). MPA trough levels did not differ significantly according to mycophenolate formula (MMF group 2.03mg/L vs EC-MPS group 2.02mg/L, p=0.85) or dosage (rho=0.07, p=0.48). MPA trough levels did not correlate significantly to history of infections (p=0.14) nor graft dysfunction (p=0.60). We also did not </w:t>
      </w:r>
      <w:r w:rsidR="0083181C">
        <w:rPr>
          <w:rFonts w:ascii="Times" w:eastAsia="Calibri" w:hAnsi="Times" w:cs="Times"/>
          <w:color w:val="201F1F"/>
          <w:lang w:eastAsia="en-US"/>
        </w:rPr>
        <w:t>find a</w:t>
      </w:r>
      <w:r w:rsidRPr="00B22DE8">
        <w:rPr>
          <w:rFonts w:ascii="Times" w:eastAsia="Calibri" w:hAnsi="Times" w:cs="Times"/>
          <w:color w:val="201F1F"/>
          <w:lang w:eastAsia="en-US"/>
        </w:rPr>
        <w:t xml:space="preserve"> significant </w:t>
      </w:r>
      <w:r w:rsidR="000C15E8">
        <w:rPr>
          <w:rFonts w:ascii="Times" w:eastAsia="Calibri" w:hAnsi="Times" w:cs="Times"/>
          <w:color w:val="201F1F"/>
          <w:lang w:eastAsia="en-US"/>
        </w:rPr>
        <w:t>co</w:t>
      </w:r>
      <w:r w:rsidR="0083181C">
        <w:rPr>
          <w:rFonts w:ascii="Times" w:eastAsia="Calibri" w:hAnsi="Times" w:cs="Times"/>
          <w:color w:val="201F1F"/>
          <w:lang w:eastAsia="en-US"/>
        </w:rPr>
        <w:t>r</w:t>
      </w:r>
      <w:r w:rsidRPr="00B22DE8">
        <w:rPr>
          <w:rFonts w:ascii="Times" w:eastAsia="Calibri" w:hAnsi="Times" w:cs="Times"/>
          <w:color w:val="201F1F"/>
          <w:lang w:eastAsia="en-US"/>
        </w:rPr>
        <w:t xml:space="preserve">relation of MPA </w:t>
      </w:r>
      <w:r w:rsidRPr="00B22DE8">
        <w:rPr>
          <w:rFonts w:ascii="Times" w:eastAsia="Calibri" w:hAnsi="Times" w:cs="Times"/>
          <w:color w:val="201F1F"/>
          <w:lang w:eastAsia="en-US"/>
        </w:rPr>
        <w:lastRenderedPageBreak/>
        <w:t xml:space="preserve">trough levels and acute or chronic (p=0.65) rejection and positive donor specific antibodies (p=0.76). </w:t>
      </w:r>
    </w:p>
    <w:p w14:paraId="1B2B6485" w14:textId="77777777" w:rsidR="00B22DE8" w:rsidRDefault="00B22DE8" w:rsidP="00B22DE8">
      <w:pPr>
        <w:widowControl w:val="0"/>
        <w:autoSpaceDE w:val="0"/>
        <w:autoSpaceDN w:val="0"/>
        <w:adjustRightInd w:val="0"/>
        <w:spacing w:after="240" w:line="280" w:lineRule="atLeast"/>
        <w:jc w:val="both"/>
        <w:rPr>
          <w:rFonts w:ascii="Times" w:eastAsia="Calibri" w:hAnsi="Times" w:cs="Times"/>
          <w:color w:val="201F1F"/>
          <w:lang w:eastAsia="en-US"/>
        </w:rPr>
      </w:pPr>
      <w:r w:rsidRPr="0083181C">
        <w:rPr>
          <w:rFonts w:ascii="Times" w:eastAsia="Calibri" w:hAnsi="Times" w:cs="Times"/>
          <w:b/>
          <w:color w:val="201F1F"/>
          <w:lang w:eastAsia="en-US"/>
        </w:rPr>
        <w:t>Conclusion:</w:t>
      </w:r>
      <w:r w:rsidRPr="00B22DE8">
        <w:rPr>
          <w:rFonts w:ascii="Times" w:eastAsia="Calibri" w:hAnsi="Times" w:cs="Times"/>
          <w:color w:val="201F1F"/>
          <w:lang w:eastAsia="en-US"/>
        </w:rPr>
        <w:t xml:space="preserve"> </w:t>
      </w:r>
      <w:r w:rsidR="0083181C">
        <w:rPr>
          <w:rFonts w:ascii="Times" w:eastAsia="Calibri" w:hAnsi="Times" w:cs="Times"/>
          <w:color w:val="201F1F"/>
          <w:lang w:eastAsia="en-US"/>
        </w:rPr>
        <w:t xml:space="preserve">Our study supports that </w:t>
      </w:r>
      <w:r w:rsidRPr="00B22DE8">
        <w:rPr>
          <w:rFonts w:ascii="Times" w:eastAsia="Calibri" w:hAnsi="Times" w:cs="Times"/>
          <w:color w:val="201F1F"/>
          <w:lang w:eastAsia="en-US"/>
        </w:rPr>
        <w:t>MPA trough levels vary widely</w:t>
      </w:r>
      <w:r w:rsidR="00EC3D56">
        <w:rPr>
          <w:rFonts w:ascii="Times" w:eastAsia="Calibri" w:hAnsi="Times" w:cs="Times"/>
          <w:color w:val="201F1F"/>
          <w:lang w:eastAsia="en-US"/>
        </w:rPr>
        <w:t>,</w:t>
      </w:r>
      <w:r w:rsidRPr="00B22DE8">
        <w:rPr>
          <w:rFonts w:ascii="Times" w:eastAsia="Calibri" w:hAnsi="Times" w:cs="Times"/>
          <w:color w:val="201F1F"/>
          <w:lang w:eastAsia="en-US"/>
        </w:rPr>
        <w:t xml:space="preserve"> independently of the pharmacological formula or dosage. </w:t>
      </w:r>
    </w:p>
    <w:p w14:paraId="6ABBFF02" w14:textId="77777777" w:rsidR="0083181C" w:rsidRDefault="0083181C" w:rsidP="00B22DE8">
      <w:pPr>
        <w:widowControl w:val="0"/>
        <w:autoSpaceDE w:val="0"/>
        <w:autoSpaceDN w:val="0"/>
        <w:adjustRightInd w:val="0"/>
        <w:spacing w:after="240" w:line="280" w:lineRule="atLeast"/>
        <w:jc w:val="both"/>
        <w:rPr>
          <w:rFonts w:ascii="Times" w:eastAsia="Calibri" w:hAnsi="Times" w:cs="Times"/>
          <w:color w:val="201F1F"/>
          <w:lang w:eastAsia="en-US"/>
        </w:rPr>
      </w:pPr>
    </w:p>
    <w:p w14:paraId="4932CE83" w14:textId="77777777" w:rsidR="0083181C" w:rsidRPr="0083181C" w:rsidRDefault="0083181C" w:rsidP="0083181C">
      <w:pPr>
        <w:rPr>
          <w:b/>
        </w:rPr>
      </w:pPr>
      <w:r>
        <w:rPr>
          <w:b/>
        </w:rPr>
        <w:t xml:space="preserve">Graph 1. </w:t>
      </w:r>
      <w:r w:rsidRPr="00BE23EB">
        <w:t>MPA trough levels correlation to prodrug formula and dosage.</w:t>
      </w:r>
    </w:p>
    <w:p w14:paraId="3D2948D0" w14:textId="77777777" w:rsidR="00B8710A" w:rsidRDefault="0083181C" w:rsidP="00363668">
      <w:pPr>
        <w:jc w:val="both"/>
        <w:rPr>
          <w:color w:val="000000"/>
        </w:rPr>
      </w:pPr>
      <w:r w:rsidRPr="0083181C">
        <w:rPr>
          <w:color w:val="000000"/>
        </w:rPr>
        <w:drawing>
          <wp:inline distT="0" distB="0" distL="0" distR="0" wp14:anchorId="597A04DB" wp14:editId="3919373A">
            <wp:extent cx="3937635" cy="2863620"/>
            <wp:effectExtent l="0" t="0" r="0" b="6985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944858" cy="28688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DB2981" w14:textId="77777777" w:rsidR="0083181C" w:rsidRDefault="0083181C" w:rsidP="00363668">
      <w:pPr>
        <w:jc w:val="both"/>
        <w:rPr>
          <w:b/>
        </w:rPr>
      </w:pPr>
    </w:p>
    <w:p w14:paraId="39D420D1" w14:textId="77777777" w:rsidR="00B8710A" w:rsidRDefault="00B8710A" w:rsidP="00363668">
      <w:pPr>
        <w:jc w:val="both"/>
        <w:rPr>
          <w:b/>
        </w:rPr>
      </w:pPr>
      <w:r w:rsidRPr="00732C88">
        <w:rPr>
          <w:b/>
        </w:rPr>
        <w:t>Biography</w:t>
      </w:r>
    </w:p>
    <w:p w14:paraId="19FBBB95" w14:textId="77777777" w:rsidR="00CE6677" w:rsidRDefault="00CE6677" w:rsidP="00363668">
      <w:pPr>
        <w:jc w:val="both"/>
        <w:rPr>
          <w:b/>
        </w:rPr>
      </w:pPr>
    </w:p>
    <w:p w14:paraId="69580BCF" w14:textId="77777777" w:rsidR="005F0625" w:rsidRPr="005F0625" w:rsidRDefault="005F0625" w:rsidP="005F0625">
      <w:pPr>
        <w:rPr>
          <w:rFonts w:eastAsia="Times New Roman"/>
          <w:lang w:eastAsia="pt-PT"/>
        </w:rPr>
      </w:pPr>
      <w:proofErr w:type="spellStart"/>
      <w:r w:rsidRPr="005F0625">
        <w:rPr>
          <w:rFonts w:eastAsia="Times New Roman"/>
          <w:lang w:eastAsia="pt-PT"/>
        </w:rPr>
        <w:t>Rhu</w:t>
      </w:r>
      <w:proofErr w:type="spellEnd"/>
      <w:r w:rsidRPr="005F0625">
        <w:rPr>
          <w:rFonts w:eastAsia="Times New Roman"/>
          <w:lang w:eastAsia="pt-PT"/>
        </w:rPr>
        <w:t xml:space="preserve">, J., Lee, K. W., Park, H., Park, J. B., </w:t>
      </w:r>
      <w:r>
        <w:rPr>
          <w:rFonts w:eastAsia="Times New Roman"/>
          <w:lang w:eastAsia="pt-PT"/>
        </w:rPr>
        <w:t>Kim, S. J., &amp; Choi, G. S</w:t>
      </w:r>
      <w:r w:rsidRPr="005F0625">
        <w:rPr>
          <w:rFonts w:eastAsia="Times New Roman"/>
          <w:lang w:eastAsia="pt-PT"/>
        </w:rPr>
        <w:t xml:space="preserve">. Clinical Implication of Mycophenolic Acid Trough Concentration Monitoring in Kidney Transplant Patients on a Tacrolimus Triple Maintenance Regimen: A Single-Center Experience. </w:t>
      </w:r>
      <w:r w:rsidRPr="005F0625">
        <w:rPr>
          <w:rFonts w:eastAsia="Times New Roman"/>
          <w:i/>
          <w:iCs/>
          <w:lang w:eastAsia="pt-PT"/>
        </w:rPr>
        <w:t>Annals of transplantation</w:t>
      </w:r>
      <w:r w:rsidRPr="005F0625">
        <w:rPr>
          <w:rFonts w:eastAsia="Times New Roman"/>
          <w:lang w:eastAsia="pt-PT"/>
        </w:rPr>
        <w:t xml:space="preserve">, </w:t>
      </w:r>
      <w:r>
        <w:rPr>
          <w:rFonts w:eastAsia="Times New Roman"/>
          <w:lang w:eastAsia="pt-PT"/>
        </w:rPr>
        <w:t xml:space="preserve">2017; </w:t>
      </w:r>
      <w:r w:rsidRPr="005F0625">
        <w:rPr>
          <w:rFonts w:eastAsia="Times New Roman"/>
          <w:i/>
          <w:iCs/>
          <w:lang w:eastAsia="pt-PT"/>
        </w:rPr>
        <w:t>22</w:t>
      </w:r>
      <w:r>
        <w:rPr>
          <w:rFonts w:eastAsia="Times New Roman"/>
          <w:i/>
          <w:iCs/>
          <w:lang w:eastAsia="pt-PT"/>
        </w:rPr>
        <w:t>:</w:t>
      </w:r>
      <w:r w:rsidRPr="005F0625">
        <w:rPr>
          <w:rFonts w:eastAsia="Times New Roman"/>
          <w:lang w:eastAsia="pt-PT"/>
        </w:rPr>
        <w:t xml:space="preserve"> 707-718.</w:t>
      </w:r>
    </w:p>
    <w:p w14:paraId="71C9E561" w14:textId="77777777" w:rsidR="007D233A" w:rsidRPr="00B03DB8" w:rsidRDefault="007D233A" w:rsidP="007D233A">
      <w:pPr>
        <w:jc w:val="both"/>
      </w:pPr>
    </w:p>
    <w:p w14:paraId="6971AAA1" w14:textId="77777777" w:rsidR="007D233A" w:rsidRDefault="007D233A" w:rsidP="007D233A"/>
    <w:p w14:paraId="48ABCE03" w14:textId="77777777" w:rsidR="007D233A" w:rsidRDefault="007D233A" w:rsidP="00363668">
      <w:pPr>
        <w:jc w:val="both"/>
        <w:rPr>
          <w:b/>
        </w:rPr>
      </w:pPr>
    </w:p>
    <w:sectPr w:rsidR="007D233A" w:rsidSect="00912F5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4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05F8"/>
    <w:rsid w:val="0002392A"/>
    <w:rsid w:val="00074C9C"/>
    <w:rsid w:val="000C15E8"/>
    <w:rsid w:val="000D6718"/>
    <w:rsid w:val="001B06AE"/>
    <w:rsid w:val="00265E72"/>
    <w:rsid w:val="002C359D"/>
    <w:rsid w:val="002C3D9B"/>
    <w:rsid w:val="0031455A"/>
    <w:rsid w:val="00363668"/>
    <w:rsid w:val="00384441"/>
    <w:rsid w:val="00392492"/>
    <w:rsid w:val="003A3C5A"/>
    <w:rsid w:val="00437503"/>
    <w:rsid w:val="00441F91"/>
    <w:rsid w:val="004E62DD"/>
    <w:rsid w:val="004F0441"/>
    <w:rsid w:val="00524F77"/>
    <w:rsid w:val="005B4B32"/>
    <w:rsid w:val="005F0625"/>
    <w:rsid w:val="00654259"/>
    <w:rsid w:val="007341F9"/>
    <w:rsid w:val="0078229D"/>
    <w:rsid w:val="007B0D32"/>
    <w:rsid w:val="007D00E7"/>
    <w:rsid w:val="007D233A"/>
    <w:rsid w:val="007D5AD0"/>
    <w:rsid w:val="007D65C7"/>
    <w:rsid w:val="0083181C"/>
    <w:rsid w:val="008747F9"/>
    <w:rsid w:val="008E2F78"/>
    <w:rsid w:val="008E737B"/>
    <w:rsid w:val="0090521F"/>
    <w:rsid w:val="00912F54"/>
    <w:rsid w:val="009E52D9"/>
    <w:rsid w:val="00A4183E"/>
    <w:rsid w:val="00A50C1E"/>
    <w:rsid w:val="00A67093"/>
    <w:rsid w:val="00AA5A30"/>
    <w:rsid w:val="00AB3B03"/>
    <w:rsid w:val="00AC5543"/>
    <w:rsid w:val="00AF61EB"/>
    <w:rsid w:val="00B03DB8"/>
    <w:rsid w:val="00B17C38"/>
    <w:rsid w:val="00B22DE8"/>
    <w:rsid w:val="00B44878"/>
    <w:rsid w:val="00B8710A"/>
    <w:rsid w:val="00BA2068"/>
    <w:rsid w:val="00C07C5B"/>
    <w:rsid w:val="00C578FF"/>
    <w:rsid w:val="00C828BF"/>
    <w:rsid w:val="00CE6677"/>
    <w:rsid w:val="00D27D1D"/>
    <w:rsid w:val="00D4160E"/>
    <w:rsid w:val="00D605F8"/>
    <w:rsid w:val="00D734FE"/>
    <w:rsid w:val="00D841B1"/>
    <w:rsid w:val="00DC433A"/>
    <w:rsid w:val="00E63452"/>
    <w:rsid w:val="00EC3D56"/>
    <w:rsid w:val="00ED2B89"/>
    <w:rsid w:val="00F84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0EEE2B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AA5A30"/>
    <w:rPr>
      <w:rFonts w:ascii="Times New Roman" w:eastAsia="Batang" w:hAnsi="Times New Roman"/>
      <w:sz w:val="24"/>
      <w:szCs w:val="24"/>
      <w:lang w:eastAsia="ko-KR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437503"/>
    <w:pPr>
      <w:ind w:left="720"/>
      <w:contextualSpacing/>
    </w:pPr>
  </w:style>
  <w:style w:type="paragraph" w:styleId="Textodebalo">
    <w:name w:val="Balloon Text"/>
    <w:basedOn w:val="Normal"/>
    <w:link w:val="TextodebaloCarter"/>
    <w:uiPriority w:val="99"/>
    <w:semiHidden/>
    <w:unhideWhenUsed/>
    <w:rsid w:val="00AF61EB"/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AF61EB"/>
    <w:rPr>
      <w:rFonts w:ascii="Tahoma" w:eastAsia="Batang" w:hAnsi="Tahoma" w:cs="Tahoma"/>
      <w:sz w:val="16"/>
      <w:szCs w:val="16"/>
      <w:lang w:eastAsia="ko-KR"/>
    </w:rPr>
  </w:style>
  <w:style w:type="paragraph" w:styleId="Legenda">
    <w:name w:val="caption"/>
    <w:basedOn w:val="Normal"/>
    <w:next w:val="Normal"/>
    <w:uiPriority w:val="35"/>
    <w:unhideWhenUsed/>
    <w:qFormat/>
    <w:rsid w:val="00AF61EB"/>
    <w:pPr>
      <w:spacing w:after="200"/>
    </w:pPr>
    <w:rPr>
      <w:b/>
      <w:bCs/>
      <w:color w:val="4F81BD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4448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4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0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13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image" Target="media/image1.tiff"/><Relationship Id="rId5" Type="http://schemas.openxmlformats.org/officeDocument/2006/relationships/image" Target="media/image2.tiff"/><Relationship Id="rId6" Type="http://schemas.openxmlformats.org/officeDocument/2006/relationships/image" Target="media/image3.tiff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423</Words>
  <Characters>2287</Characters>
  <Application>Microsoft Macintosh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Nazia</dc:creator>
  <cp:lastModifiedBy>Carla Moreira</cp:lastModifiedBy>
  <cp:revision>3</cp:revision>
  <dcterms:created xsi:type="dcterms:W3CDTF">2018-05-24T03:29:00Z</dcterms:created>
  <dcterms:modified xsi:type="dcterms:W3CDTF">2018-05-24T03:29:00Z</dcterms:modified>
</cp:coreProperties>
</file>