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FFAF03" w14:textId="77777777" w:rsidR="00D43436" w:rsidRPr="000C69C1" w:rsidRDefault="00D43436">
      <w:pPr>
        <w:rPr>
          <w:rFonts w:ascii="Arial" w:hAnsi="Arial" w:cs="Arial"/>
          <w:u w:val="single"/>
          <w:lang w:val="en-GB"/>
        </w:rPr>
      </w:pPr>
      <w:r w:rsidRPr="000C69C1">
        <w:rPr>
          <w:rFonts w:ascii="Arial" w:hAnsi="Arial" w:cs="Arial"/>
          <w:u w:val="single"/>
          <w:lang w:val="en-GB"/>
        </w:rPr>
        <w:t>Abstract</w:t>
      </w:r>
    </w:p>
    <w:p w14:paraId="375D8F61" w14:textId="77777777" w:rsidR="00804706" w:rsidRPr="000C69C1" w:rsidRDefault="00804706">
      <w:pPr>
        <w:rPr>
          <w:rFonts w:ascii="Arial" w:hAnsi="Arial" w:cs="Arial"/>
          <w:lang w:val="en-GB"/>
        </w:rPr>
      </w:pPr>
    </w:p>
    <w:p w14:paraId="1B525E52" w14:textId="77777777" w:rsidR="00804706" w:rsidRPr="000C69C1" w:rsidRDefault="00804706">
      <w:pPr>
        <w:rPr>
          <w:rFonts w:ascii="Arial" w:hAnsi="Arial" w:cs="Arial"/>
          <w:lang w:val="en-GB"/>
        </w:rPr>
      </w:pPr>
    </w:p>
    <w:p w14:paraId="0C3B0DE9" w14:textId="4877D1F9" w:rsidR="004A3D65" w:rsidRPr="000C69C1" w:rsidRDefault="00A8123C">
      <w:pPr>
        <w:rPr>
          <w:rFonts w:ascii="Arial" w:hAnsi="Arial" w:cs="Arial"/>
          <w:lang w:val="en-GB"/>
        </w:rPr>
      </w:pPr>
      <w:r w:rsidRPr="000C69C1">
        <w:rPr>
          <w:rFonts w:ascii="Arial" w:hAnsi="Arial" w:cs="Arial"/>
          <w:lang w:val="en-GB"/>
        </w:rPr>
        <w:t>Steroid d</w:t>
      </w:r>
      <w:r w:rsidR="00447215" w:rsidRPr="000C69C1">
        <w:rPr>
          <w:rFonts w:ascii="Arial" w:hAnsi="Arial" w:cs="Arial"/>
          <w:lang w:val="en-GB"/>
        </w:rPr>
        <w:t>ose reduction in patients with newly diagnosed A</w:t>
      </w:r>
      <w:r w:rsidRPr="000C69C1">
        <w:rPr>
          <w:rFonts w:ascii="Arial" w:hAnsi="Arial" w:cs="Arial"/>
          <w:lang w:val="en-GB"/>
        </w:rPr>
        <w:t xml:space="preserve">NCA-associated vasculitis: </w:t>
      </w:r>
      <w:r w:rsidR="00466EC6" w:rsidRPr="000C69C1">
        <w:rPr>
          <w:rFonts w:ascii="Arial" w:hAnsi="Arial" w:cs="Arial"/>
          <w:lang w:val="en-GB"/>
        </w:rPr>
        <w:t xml:space="preserve">Is current practice meeting guidelines? </w:t>
      </w:r>
    </w:p>
    <w:p w14:paraId="5091498F" w14:textId="77777777" w:rsidR="004A3D65" w:rsidRPr="000C69C1" w:rsidRDefault="004A3D65">
      <w:pPr>
        <w:rPr>
          <w:rFonts w:ascii="Arial" w:hAnsi="Arial" w:cs="Arial"/>
          <w:lang w:val="en-GB"/>
        </w:rPr>
      </w:pPr>
    </w:p>
    <w:p w14:paraId="70BFC957" w14:textId="77777777" w:rsidR="004A3D65" w:rsidRPr="000C69C1" w:rsidRDefault="004A3D65">
      <w:pPr>
        <w:rPr>
          <w:rFonts w:ascii="Arial" w:hAnsi="Arial" w:cs="Arial"/>
          <w:lang w:val="en-GB"/>
        </w:rPr>
      </w:pPr>
    </w:p>
    <w:p w14:paraId="73448A0E" w14:textId="3CB9AA04" w:rsidR="00646655" w:rsidRDefault="00646655">
      <w:pPr>
        <w:rPr>
          <w:rFonts w:ascii="Arial" w:hAnsi="Arial" w:cs="Arial"/>
          <w:lang w:val="en-GB"/>
        </w:rPr>
      </w:pPr>
    </w:p>
    <w:p w14:paraId="29D64753" w14:textId="77777777" w:rsidR="000E0FFB" w:rsidRDefault="000E0FFB">
      <w:pPr>
        <w:rPr>
          <w:rFonts w:ascii="Arial" w:hAnsi="Arial" w:cs="Arial"/>
          <w:lang w:val="en-GB"/>
        </w:rPr>
      </w:pPr>
      <w:bookmarkStart w:id="0" w:name="_GoBack"/>
      <w:bookmarkEnd w:id="0"/>
    </w:p>
    <w:p w14:paraId="59FEBE09" w14:textId="77777777" w:rsidR="000E0FFB" w:rsidRPr="000C69C1" w:rsidRDefault="000E0FFB" w:rsidP="000E0FFB">
      <w:pPr>
        <w:rPr>
          <w:rFonts w:ascii="Arial" w:hAnsi="Arial" w:cs="Arial"/>
          <w:lang w:val="en-GB"/>
        </w:rPr>
      </w:pPr>
      <w:r w:rsidRPr="00301BCC">
        <w:rPr>
          <w:rFonts w:ascii="Arial" w:hAnsi="Arial" w:cs="Arial"/>
          <w:b/>
          <w:lang w:val="en-GB"/>
        </w:rPr>
        <w:t>Background:</w:t>
      </w:r>
      <w:r w:rsidRPr="00301BCC">
        <w:rPr>
          <w:rFonts w:ascii="Arial" w:hAnsi="Arial" w:cs="Arial"/>
          <w:lang w:val="en-GB"/>
        </w:rPr>
        <w:t xml:space="preserve"> </w:t>
      </w:r>
      <w:r w:rsidRPr="000C69C1">
        <w:rPr>
          <w:rFonts w:ascii="Arial" w:hAnsi="Arial" w:cs="Arial"/>
          <w:lang w:val="en-GB"/>
        </w:rPr>
        <w:t>ANCA-associated vasculitis (Granulomatosis with polyangiitis, Microscopic polyangiitis and Eosinophilic granulomatosis with polyangiitis) is an umbrella term for inflammatory conditions affecting small blood vessels (1).</w:t>
      </w:r>
    </w:p>
    <w:p w14:paraId="1CCD3284" w14:textId="77777777" w:rsidR="000E0FFB" w:rsidRPr="000C69C1" w:rsidRDefault="000E0FFB" w:rsidP="000E0FFB">
      <w:pPr>
        <w:rPr>
          <w:rFonts w:ascii="Arial" w:hAnsi="Arial" w:cs="Arial"/>
          <w:lang w:val="en-GB"/>
        </w:rPr>
      </w:pPr>
      <w:r w:rsidRPr="000C69C1">
        <w:rPr>
          <w:rFonts w:ascii="Arial" w:hAnsi="Arial" w:cs="Arial"/>
          <w:lang w:val="en-GB"/>
        </w:rPr>
        <w:t>Patients newly diagnosed, will receive immunosuppression and prednisolone to induce remission. For remission maintenance, patients will continue these medications, but with gradual corticosteroid dose reduction as per the RITUXVAS Clinical Trial protocol (2).</w:t>
      </w:r>
      <w:r>
        <w:rPr>
          <w:rFonts w:ascii="Arial" w:hAnsi="Arial" w:cs="Arial"/>
          <w:lang w:val="en-GB"/>
        </w:rPr>
        <w:t xml:space="preserve"> </w:t>
      </w:r>
      <w:r w:rsidRPr="000C69C1">
        <w:rPr>
          <w:rFonts w:ascii="Arial" w:hAnsi="Arial" w:cs="Arial"/>
          <w:lang w:val="en-GB"/>
        </w:rPr>
        <w:t>Although essential in remission, prednisolone, along with other corticosteroids, has multiple side effects which may cause significant comorbidities with prolonged use such as, diabetes mellitus, osteoporosis, and Cushing’s disease. Short-term use may precipitate effects such as hyperglycaemia, peptic ulcers and immunosuppression</w:t>
      </w:r>
      <w:r>
        <w:rPr>
          <w:rFonts w:ascii="Arial" w:hAnsi="Arial" w:cs="Arial"/>
          <w:lang w:val="en-GB"/>
        </w:rPr>
        <w:t xml:space="preserve"> (2)</w:t>
      </w:r>
      <w:r w:rsidRPr="000C69C1">
        <w:rPr>
          <w:rFonts w:ascii="Arial" w:hAnsi="Arial" w:cs="Arial"/>
          <w:lang w:val="en-GB"/>
        </w:rPr>
        <w:t xml:space="preserve">. </w:t>
      </w:r>
    </w:p>
    <w:p w14:paraId="0717C43A" w14:textId="77777777" w:rsidR="000E0FFB" w:rsidRPr="000C69C1" w:rsidRDefault="000E0FFB" w:rsidP="000E0FFB">
      <w:pPr>
        <w:rPr>
          <w:rFonts w:ascii="Arial" w:hAnsi="Arial" w:cs="Arial"/>
          <w:lang w:val="en-GB"/>
        </w:rPr>
      </w:pPr>
      <w:r w:rsidRPr="000C69C1">
        <w:rPr>
          <w:rFonts w:ascii="Arial" w:hAnsi="Arial" w:cs="Arial"/>
          <w:lang w:val="en-GB"/>
        </w:rPr>
        <w:t xml:space="preserve">With such significant potential complications, it is vital that patients’ dosage of prednisolone is reduced as per protocol if the treatment response is adequate. </w:t>
      </w:r>
    </w:p>
    <w:p w14:paraId="35CFA97B" w14:textId="77777777" w:rsidR="000E0FFB" w:rsidRDefault="000E0FFB" w:rsidP="000E0FFB">
      <w:pPr>
        <w:rPr>
          <w:rFonts w:ascii="Arial" w:hAnsi="Arial" w:cs="Arial"/>
          <w:lang w:val="en-GB"/>
        </w:rPr>
      </w:pPr>
      <w:r>
        <w:rPr>
          <w:rFonts w:ascii="Arial" w:hAnsi="Arial" w:cs="Arial"/>
          <w:b/>
          <w:lang w:val="en-GB"/>
        </w:rPr>
        <w:t xml:space="preserve">Aim: </w:t>
      </w:r>
      <w:r>
        <w:rPr>
          <w:rFonts w:ascii="Arial" w:hAnsi="Arial" w:cs="Arial"/>
          <w:lang w:val="en-GB"/>
        </w:rPr>
        <w:t>T</w:t>
      </w:r>
      <w:r w:rsidRPr="000C69C1">
        <w:rPr>
          <w:rFonts w:ascii="Arial" w:hAnsi="Arial" w:cs="Arial"/>
          <w:lang w:val="en-GB"/>
        </w:rPr>
        <w:t>o assess prednisolone dose reduction in each individual patient and to determine whether clinicians are adhering to this regime.</w:t>
      </w:r>
      <w:r>
        <w:rPr>
          <w:rFonts w:ascii="Arial" w:hAnsi="Arial" w:cs="Arial"/>
          <w:lang w:val="en-GB"/>
        </w:rPr>
        <w:t xml:space="preserve"> A</w:t>
      </w:r>
      <w:r w:rsidRPr="000C69C1">
        <w:rPr>
          <w:rFonts w:ascii="Arial" w:hAnsi="Arial" w:cs="Arial"/>
          <w:lang w:val="en-GB"/>
        </w:rPr>
        <w:t xml:space="preserve">dditionally, it will be assessed whether mild or no adverse effects have a correlation to non-adherence.   </w:t>
      </w:r>
    </w:p>
    <w:p w14:paraId="7AA5A74D" w14:textId="77777777" w:rsidR="000E0FFB" w:rsidRPr="00301BCC" w:rsidRDefault="000E0FFB" w:rsidP="000E0FFB">
      <w:pPr>
        <w:rPr>
          <w:rFonts w:ascii="Arial" w:hAnsi="Arial" w:cs="Arial"/>
          <w:lang w:val="en-GB"/>
        </w:rPr>
      </w:pPr>
      <w:r w:rsidRPr="00301BCC">
        <w:rPr>
          <w:rFonts w:ascii="Arial" w:hAnsi="Arial" w:cs="Arial"/>
          <w:b/>
          <w:lang w:val="en-GB"/>
        </w:rPr>
        <w:t>Method:</w:t>
      </w:r>
      <w:r>
        <w:rPr>
          <w:rFonts w:ascii="Arial" w:hAnsi="Arial" w:cs="Arial"/>
          <w:b/>
          <w:lang w:val="en-GB"/>
        </w:rPr>
        <w:t xml:space="preserve"> </w:t>
      </w:r>
      <w:r w:rsidRPr="000C69C1">
        <w:rPr>
          <w:rFonts w:ascii="Arial" w:hAnsi="Arial" w:cs="Arial"/>
          <w:lang w:val="en-GB"/>
        </w:rPr>
        <w:t xml:space="preserve">The dataset to be obtained in this </w:t>
      </w:r>
      <w:r>
        <w:rPr>
          <w:rFonts w:ascii="Arial" w:hAnsi="Arial" w:cs="Arial"/>
          <w:lang w:val="en-GB"/>
        </w:rPr>
        <w:t xml:space="preserve">retrospective </w:t>
      </w:r>
      <w:r w:rsidRPr="000C69C1">
        <w:rPr>
          <w:rFonts w:ascii="Arial" w:hAnsi="Arial" w:cs="Arial"/>
          <w:lang w:val="en-GB"/>
        </w:rPr>
        <w:t>audit will consist of patients newly diagnosed with ANCA-associated vasculitis at QEHB in the last 12 months, approximating to 20-30 patients; the electronic patient record will be used to collect data.</w:t>
      </w:r>
    </w:p>
    <w:p w14:paraId="1C7B0E53" w14:textId="77777777" w:rsidR="000E0FFB" w:rsidRDefault="000E0FFB">
      <w:pPr>
        <w:rPr>
          <w:rFonts w:ascii="Arial" w:hAnsi="Arial" w:cs="Arial"/>
          <w:lang w:val="en-GB"/>
        </w:rPr>
      </w:pPr>
    </w:p>
    <w:p w14:paraId="37E15175" w14:textId="77777777" w:rsidR="000E0FFB" w:rsidRPr="000C69C1" w:rsidRDefault="000E0FFB">
      <w:pPr>
        <w:rPr>
          <w:rFonts w:ascii="Arial" w:hAnsi="Arial" w:cs="Arial"/>
          <w:lang w:val="en-GB"/>
        </w:rPr>
      </w:pPr>
    </w:p>
    <w:p w14:paraId="0EDD97AC" w14:textId="77777777" w:rsidR="00744776" w:rsidRPr="000C69C1" w:rsidRDefault="00744776">
      <w:pPr>
        <w:rPr>
          <w:rFonts w:ascii="Arial" w:hAnsi="Arial" w:cs="Arial"/>
          <w:lang w:val="en-GB"/>
        </w:rPr>
      </w:pPr>
    </w:p>
    <w:p w14:paraId="1D27C111" w14:textId="22052E50" w:rsidR="00930E61" w:rsidRPr="000C69C1" w:rsidRDefault="00930E61">
      <w:pPr>
        <w:rPr>
          <w:rFonts w:ascii="Arial" w:hAnsi="Arial" w:cs="Arial"/>
          <w:lang w:val="en-GB"/>
        </w:rPr>
      </w:pPr>
    </w:p>
    <w:p w14:paraId="19265ED4" w14:textId="77777777" w:rsidR="003A4125" w:rsidRPr="000C69C1" w:rsidRDefault="003A4125">
      <w:pPr>
        <w:rPr>
          <w:rFonts w:ascii="Arial" w:hAnsi="Arial" w:cs="Arial"/>
          <w:u w:val="single"/>
          <w:lang w:val="en-GB"/>
        </w:rPr>
      </w:pPr>
      <w:r w:rsidRPr="000C69C1">
        <w:rPr>
          <w:rFonts w:ascii="Arial" w:hAnsi="Arial" w:cs="Arial"/>
          <w:u w:val="single"/>
          <w:lang w:val="en-GB"/>
        </w:rPr>
        <w:t>References</w:t>
      </w:r>
    </w:p>
    <w:p w14:paraId="7010A096" w14:textId="77777777" w:rsidR="00762730" w:rsidRDefault="00762730">
      <w:pPr>
        <w:rPr>
          <w:lang w:val="en-GB"/>
        </w:rPr>
      </w:pPr>
    </w:p>
    <w:p w14:paraId="428EC7AE" w14:textId="77777777" w:rsidR="00744776" w:rsidRDefault="00744776">
      <w:pPr>
        <w:rPr>
          <w:lang w:val="en-GB"/>
        </w:rPr>
      </w:pPr>
    </w:p>
    <w:p w14:paraId="00168324" w14:textId="77777777" w:rsidR="00F313AD" w:rsidRDefault="00F313AD">
      <w:pPr>
        <w:rPr>
          <w:lang w:val="en-GB"/>
        </w:rPr>
      </w:pPr>
    </w:p>
    <w:p w14:paraId="7AB1A031" w14:textId="77777777" w:rsidR="00F313AD" w:rsidRPr="009B44C9" w:rsidRDefault="00F313AD">
      <w:pPr>
        <w:rPr>
          <w:rFonts w:ascii="Arial" w:hAnsi="Arial" w:cs="Arial"/>
          <w:lang w:val="en-GB"/>
        </w:rPr>
      </w:pPr>
    </w:p>
    <w:p w14:paraId="6556B77E" w14:textId="77777777" w:rsidR="009B44C9" w:rsidRPr="000C69C1" w:rsidRDefault="004F32F5" w:rsidP="000C69C1">
      <w:pPr>
        <w:pStyle w:val="ListParagraph"/>
        <w:numPr>
          <w:ilvl w:val="0"/>
          <w:numId w:val="1"/>
        </w:numPr>
        <w:rPr>
          <w:rFonts w:ascii="Arial" w:eastAsia="Times New Roman" w:hAnsi="Arial" w:cs="Arial"/>
        </w:rPr>
      </w:pPr>
      <w:r w:rsidRPr="000C69C1">
        <w:rPr>
          <w:rFonts w:ascii="Arial" w:hAnsi="Arial" w:cs="Arial"/>
          <w:lang w:val="en-GB"/>
        </w:rPr>
        <w:t>McClure ME, Jones RB.</w:t>
      </w:r>
      <w:r w:rsidR="00704AA2" w:rsidRPr="000C69C1">
        <w:rPr>
          <w:rFonts w:ascii="Arial" w:hAnsi="Arial" w:cs="Arial"/>
          <w:lang w:val="en-GB"/>
        </w:rPr>
        <w:t xml:space="preserve"> Anti-neutrophil cytoplasm antibodies (ANCA). [internet]. </w:t>
      </w:r>
      <w:r w:rsidR="009B44C9" w:rsidRPr="000C69C1">
        <w:rPr>
          <w:rFonts w:ascii="Arial" w:hAnsi="Arial" w:cs="Arial"/>
          <w:lang w:val="en-GB"/>
        </w:rPr>
        <w:t xml:space="preserve">2017 [cited 2019 November 2]. Available from: </w:t>
      </w:r>
      <w:hyperlink r:id="rId5" w:history="1">
        <w:r w:rsidR="009B44C9" w:rsidRPr="000C69C1">
          <w:rPr>
            <w:rFonts w:ascii="Arial" w:eastAsia="Times New Roman" w:hAnsi="Arial" w:cs="Arial"/>
            <w:color w:val="0000FF"/>
            <w:u w:val="single"/>
          </w:rPr>
          <w:t>https://www.vasculitis.org.uk/about-vasculitis/what-is-anca</w:t>
        </w:r>
      </w:hyperlink>
    </w:p>
    <w:p w14:paraId="0B5B66C6" w14:textId="17B1B5F8" w:rsidR="00F313AD" w:rsidRDefault="00F313AD">
      <w:pPr>
        <w:rPr>
          <w:lang w:val="en-GB"/>
        </w:rPr>
      </w:pPr>
    </w:p>
    <w:p w14:paraId="1D330DB9" w14:textId="77777777" w:rsidR="000C69C1" w:rsidRPr="000C69C1" w:rsidRDefault="000C69C1" w:rsidP="000C69C1">
      <w:pPr>
        <w:pStyle w:val="ListParagraph"/>
        <w:numPr>
          <w:ilvl w:val="0"/>
          <w:numId w:val="1"/>
        </w:numPr>
        <w:rPr>
          <w:rFonts w:ascii="Arial" w:hAnsi="Arial" w:cs="Arial"/>
        </w:rPr>
      </w:pPr>
      <w:r w:rsidRPr="000C69C1">
        <w:rPr>
          <w:rFonts w:ascii="Arial" w:hAnsi="Arial" w:cs="Arial"/>
        </w:rPr>
        <w:t xml:space="preserve">Cambridge University Hospitals NHS Foundation Trust. An international, randomised, open trial comparing a rituximab based regimen with a standard cyclophosphamide/azathioprine regimen in the treatment of 'generalised' ANCA associated vasculitis. 2005. [cited 2019 November 2]. Available from: </w:t>
      </w:r>
      <w:hyperlink r:id="rId6" w:history="1">
        <w:r w:rsidRPr="000C69C1">
          <w:rPr>
            <w:rStyle w:val="Hyperlink"/>
            <w:rFonts w:ascii="Arial" w:hAnsi="Arial" w:cs="Arial"/>
          </w:rPr>
          <w:t>http://www.vasculitis.org/images/documents/rituxvas.pdf</w:t>
        </w:r>
      </w:hyperlink>
    </w:p>
    <w:p w14:paraId="1160EBAA" w14:textId="758E272B" w:rsidR="000C69C1" w:rsidRPr="000C69C1" w:rsidRDefault="000C69C1" w:rsidP="000C69C1">
      <w:pPr>
        <w:rPr>
          <w:rFonts w:ascii="Arial" w:hAnsi="Arial" w:cs="Arial"/>
        </w:rPr>
      </w:pPr>
    </w:p>
    <w:p w14:paraId="6C4A12F9" w14:textId="180CF3BA" w:rsidR="000C69C1" w:rsidRPr="000C69C1" w:rsidRDefault="000C69C1" w:rsidP="000C69C1">
      <w:pPr>
        <w:rPr>
          <w:rFonts w:ascii="Arial" w:hAnsi="Arial" w:cs="Arial"/>
        </w:rPr>
      </w:pPr>
    </w:p>
    <w:p w14:paraId="4F6F1F3A" w14:textId="5DF9BA1C" w:rsidR="00301BCC" w:rsidRDefault="00301BCC">
      <w:pPr>
        <w:rPr>
          <w:lang w:val="en-GB"/>
        </w:rPr>
      </w:pPr>
    </w:p>
    <w:p w14:paraId="5065A341" w14:textId="77777777" w:rsidR="00301BCC" w:rsidRDefault="00301BCC" w:rsidP="00301BCC">
      <w:pPr>
        <w:rPr>
          <w:rFonts w:ascii="Arial" w:hAnsi="Arial" w:cs="Arial"/>
          <w:b/>
          <w:lang w:val="en-GB"/>
        </w:rPr>
      </w:pPr>
    </w:p>
    <w:p w14:paraId="15C3C894" w14:textId="77777777" w:rsidR="00301BCC" w:rsidRDefault="00301BCC" w:rsidP="00301BCC">
      <w:pPr>
        <w:rPr>
          <w:rFonts w:ascii="Arial" w:hAnsi="Arial" w:cs="Arial"/>
          <w:b/>
          <w:lang w:val="en-GB"/>
        </w:rPr>
      </w:pPr>
    </w:p>
    <w:p w14:paraId="12F297DB" w14:textId="77777777" w:rsidR="00301BCC" w:rsidRDefault="00301BCC" w:rsidP="00301BCC">
      <w:pPr>
        <w:rPr>
          <w:rFonts w:ascii="Arial" w:hAnsi="Arial" w:cs="Arial"/>
          <w:b/>
          <w:lang w:val="en-GB"/>
        </w:rPr>
      </w:pPr>
    </w:p>
    <w:p w14:paraId="34845203" w14:textId="4E92E7F6" w:rsidR="009B44C9" w:rsidRPr="00301BCC" w:rsidRDefault="009B44C9">
      <w:pPr>
        <w:rPr>
          <w:rFonts w:ascii="Arial" w:hAnsi="Arial" w:cs="Arial"/>
          <w:b/>
          <w:lang w:val="en-GB"/>
        </w:rPr>
      </w:pPr>
    </w:p>
    <w:sectPr w:rsidR="009B44C9" w:rsidRPr="00301BCC" w:rsidSect="002B2D2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BD97BE9"/>
    <w:multiLevelType w:val="hybridMultilevel"/>
    <w:tmpl w:val="C04220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064"/>
    <w:rsid w:val="000124E1"/>
    <w:rsid w:val="000378B2"/>
    <w:rsid w:val="0005770C"/>
    <w:rsid w:val="00090129"/>
    <w:rsid w:val="000A3411"/>
    <w:rsid w:val="000C3A36"/>
    <w:rsid w:val="000C69C1"/>
    <w:rsid w:val="000E0FFB"/>
    <w:rsid w:val="000F3F3D"/>
    <w:rsid w:val="00162F96"/>
    <w:rsid w:val="001B6E12"/>
    <w:rsid w:val="002400DB"/>
    <w:rsid w:val="00261F26"/>
    <w:rsid w:val="00276C70"/>
    <w:rsid w:val="002B2D2C"/>
    <w:rsid w:val="002B3346"/>
    <w:rsid w:val="002F7622"/>
    <w:rsid w:val="00301BCC"/>
    <w:rsid w:val="00396775"/>
    <w:rsid w:val="003A4125"/>
    <w:rsid w:val="003F0449"/>
    <w:rsid w:val="003F4C0D"/>
    <w:rsid w:val="00447215"/>
    <w:rsid w:val="00466EC6"/>
    <w:rsid w:val="004A3D65"/>
    <w:rsid w:val="004F32F5"/>
    <w:rsid w:val="00513D5A"/>
    <w:rsid w:val="00555263"/>
    <w:rsid w:val="005959C9"/>
    <w:rsid w:val="005D6E3D"/>
    <w:rsid w:val="006018F3"/>
    <w:rsid w:val="00632C6A"/>
    <w:rsid w:val="00646655"/>
    <w:rsid w:val="00685540"/>
    <w:rsid w:val="00704AA2"/>
    <w:rsid w:val="0070631E"/>
    <w:rsid w:val="00744776"/>
    <w:rsid w:val="00762730"/>
    <w:rsid w:val="007F5ED7"/>
    <w:rsid w:val="00804706"/>
    <w:rsid w:val="00853007"/>
    <w:rsid w:val="00865509"/>
    <w:rsid w:val="008D71FE"/>
    <w:rsid w:val="00930E61"/>
    <w:rsid w:val="009B2869"/>
    <w:rsid w:val="009B44C9"/>
    <w:rsid w:val="00A41EB1"/>
    <w:rsid w:val="00A8123C"/>
    <w:rsid w:val="00BF29A1"/>
    <w:rsid w:val="00D43436"/>
    <w:rsid w:val="00DA0A51"/>
    <w:rsid w:val="00E45C89"/>
    <w:rsid w:val="00E8643D"/>
    <w:rsid w:val="00EA2064"/>
    <w:rsid w:val="00EF5B80"/>
    <w:rsid w:val="00F30465"/>
    <w:rsid w:val="00F313AD"/>
    <w:rsid w:val="00F537B7"/>
    <w:rsid w:val="00F57B8D"/>
    <w:rsid w:val="00F85810"/>
    <w:rsid w:val="00F907D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5D6511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B44C9"/>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4776"/>
    <w:rPr>
      <w:color w:val="0000FF"/>
      <w:u w:val="single"/>
    </w:rPr>
  </w:style>
  <w:style w:type="paragraph" w:styleId="ListParagraph">
    <w:name w:val="List Paragraph"/>
    <w:basedOn w:val="Normal"/>
    <w:uiPriority w:val="34"/>
    <w:qFormat/>
    <w:rsid w:val="000C69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8587104">
      <w:bodyDiv w:val="1"/>
      <w:marLeft w:val="0"/>
      <w:marRight w:val="0"/>
      <w:marTop w:val="0"/>
      <w:marBottom w:val="0"/>
      <w:divBdr>
        <w:top w:val="none" w:sz="0" w:space="0" w:color="auto"/>
        <w:left w:val="none" w:sz="0" w:space="0" w:color="auto"/>
        <w:bottom w:val="none" w:sz="0" w:space="0" w:color="auto"/>
        <w:right w:val="none" w:sz="0" w:space="0" w:color="auto"/>
      </w:divBdr>
    </w:div>
    <w:div w:id="886917411">
      <w:bodyDiv w:val="1"/>
      <w:marLeft w:val="0"/>
      <w:marRight w:val="0"/>
      <w:marTop w:val="0"/>
      <w:marBottom w:val="0"/>
      <w:divBdr>
        <w:top w:val="none" w:sz="0" w:space="0" w:color="auto"/>
        <w:left w:val="none" w:sz="0" w:space="0" w:color="auto"/>
        <w:bottom w:val="none" w:sz="0" w:space="0" w:color="auto"/>
        <w:right w:val="none" w:sz="0" w:space="0" w:color="auto"/>
      </w:divBdr>
    </w:div>
    <w:div w:id="1012605079">
      <w:bodyDiv w:val="1"/>
      <w:marLeft w:val="0"/>
      <w:marRight w:val="0"/>
      <w:marTop w:val="0"/>
      <w:marBottom w:val="0"/>
      <w:divBdr>
        <w:top w:val="none" w:sz="0" w:space="0" w:color="auto"/>
        <w:left w:val="none" w:sz="0" w:space="0" w:color="auto"/>
        <w:bottom w:val="none" w:sz="0" w:space="0" w:color="auto"/>
        <w:right w:val="none" w:sz="0" w:space="0" w:color="auto"/>
      </w:divBdr>
    </w:div>
    <w:div w:id="1219896417">
      <w:bodyDiv w:val="1"/>
      <w:marLeft w:val="0"/>
      <w:marRight w:val="0"/>
      <w:marTop w:val="0"/>
      <w:marBottom w:val="0"/>
      <w:divBdr>
        <w:top w:val="none" w:sz="0" w:space="0" w:color="auto"/>
        <w:left w:val="none" w:sz="0" w:space="0" w:color="auto"/>
        <w:bottom w:val="none" w:sz="0" w:space="0" w:color="auto"/>
        <w:right w:val="none" w:sz="0" w:space="0" w:color="auto"/>
      </w:divBdr>
    </w:div>
    <w:div w:id="1232887899">
      <w:bodyDiv w:val="1"/>
      <w:marLeft w:val="0"/>
      <w:marRight w:val="0"/>
      <w:marTop w:val="0"/>
      <w:marBottom w:val="0"/>
      <w:divBdr>
        <w:top w:val="none" w:sz="0" w:space="0" w:color="auto"/>
        <w:left w:val="none" w:sz="0" w:space="0" w:color="auto"/>
        <w:bottom w:val="none" w:sz="0" w:space="0" w:color="auto"/>
        <w:right w:val="none" w:sz="0" w:space="0" w:color="auto"/>
      </w:divBdr>
    </w:div>
    <w:div w:id="1323506935">
      <w:bodyDiv w:val="1"/>
      <w:marLeft w:val="0"/>
      <w:marRight w:val="0"/>
      <w:marTop w:val="0"/>
      <w:marBottom w:val="0"/>
      <w:divBdr>
        <w:top w:val="none" w:sz="0" w:space="0" w:color="auto"/>
        <w:left w:val="none" w:sz="0" w:space="0" w:color="auto"/>
        <w:bottom w:val="none" w:sz="0" w:space="0" w:color="auto"/>
        <w:right w:val="none" w:sz="0" w:space="0" w:color="auto"/>
      </w:divBdr>
    </w:div>
    <w:div w:id="1578830142">
      <w:bodyDiv w:val="1"/>
      <w:marLeft w:val="0"/>
      <w:marRight w:val="0"/>
      <w:marTop w:val="0"/>
      <w:marBottom w:val="0"/>
      <w:divBdr>
        <w:top w:val="none" w:sz="0" w:space="0" w:color="auto"/>
        <w:left w:val="none" w:sz="0" w:space="0" w:color="auto"/>
        <w:bottom w:val="none" w:sz="0" w:space="0" w:color="auto"/>
        <w:right w:val="none" w:sz="0" w:space="0" w:color="auto"/>
      </w:divBdr>
    </w:div>
    <w:div w:id="1621839799">
      <w:bodyDiv w:val="1"/>
      <w:marLeft w:val="0"/>
      <w:marRight w:val="0"/>
      <w:marTop w:val="0"/>
      <w:marBottom w:val="0"/>
      <w:divBdr>
        <w:top w:val="none" w:sz="0" w:space="0" w:color="auto"/>
        <w:left w:val="none" w:sz="0" w:space="0" w:color="auto"/>
        <w:bottom w:val="none" w:sz="0" w:space="0" w:color="auto"/>
        <w:right w:val="none" w:sz="0" w:space="0" w:color="auto"/>
      </w:divBdr>
    </w:div>
    <w:div w:id="1717780566">
      <w:bodyDiv w:val="1"/>
      <w:marLeft w:val="0"/>
      <w:marRight w:val="0"/>
      <w:marTop w:val="0"/>
      <w:marBottom w:val="0"/>
      <w:divBdr>
        <w:top w:val="none" w:sz="0" w:space="0" w:color="auto"/>
        <w:left w:val="none" w:sz="0" w:space="0" w:color="auto"/>
        <w:bottom w:val="none" w:sz="0" w:space="0" w:color="auto"/>
        <w:right w:val="none" w:sz="0" w:space="0" w:color="auto"/>
      </w:divBdr>
    </w:div>
    <w:div w:id="1736777962">
      <w:bodyDiv w:val="1"/>
      <w:marLeft w:val="0"/>
      <w:marRight w:val="0"/>
      <w:marTop w:val="0"/>
      <w:marBottom w:val="0"/>
      <w:divBdr>
        <w:top w:val="none" w:sz="0" w:space="0" w:color="auto"/>
        <w:left w:val="none" w:sz="0" w:space="0" w:color="auto"/>
        <w:bottom w:val="none" w:sz="0" w:space="0" w:color="auto"/>
        <w:right w:val="none" w:sz="0" w:space="0" w:color="auto"/>
      </w:divBdr>
    </w:div>
    <w:div w:id="1894076059">
      <w:bodyDiv w:val="1"/>
      <w:marLeft w:val="0"/>
      <w:marRight w:val="0"/>
      <w:marTop w:val="0"/>
      <w:marBottom w:val="0"/>
      <w:divBdr>
        <w:top w:val="none" w:sz="0" w:space="0" w:color="auto"/>
        <w:left w:val="none" w:sz="0" w:space="0" w:color="auto"/>
        <w:bottom w:val="none" w:sz="0" w:space="0" w:color="auto"/>
        <w:right w:val="none" w:sz="0" w:space="0" w:color="auto"/>
      </w:divBdr>
    </w:div>
    <w:div w:id="210849907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vasculitis.org.uk/about-vasculitis/what-is-anca" TargetMode="External"/><Relationship Id="rId6" Type="http://schemas.openxmlformats.org/officeDocument/2006/relationships/hyperlink" Target="http://www.vasculitis.org/images/documents/rituxvas.pdf"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219</TotalTime>
  <Pages>2</Pages>
  <Words>350</Words>
  <Characters>1998</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Kavina Kudhail</dc:creator>
  <cp:keywords/>
  <dc:description/>
  <cp:lastModifiedBy>Kavina Kudhail</cp:lastModifiedBy>
  <cp:revision>7</cp:revision>
  <dcterms:created xsi:type="dcterms:W3CDTF">2019-10-24T20:02:00Z</dcterms:created>
  <dcterms:modified xsi:type="dcterms:W3CDTF">2019-11-02T14:57:00Z</dcterms:modified>
</cp:coreProperties>
</file>