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60" w:rsidRPr="00743160" w:rsidRDefault="00743160" w:rsidP="00743160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43160">
        <w:rPr>
          <w:rFonts w:ascii="Times New Roman" w:hAnsi="Times New Roman"/>
          <w:b/>
          <w:sz w:val="24"/>
          <w:szCs w:val="24"/>
          <w:lang w:val="en-US"/>
        </w:rPr>
        <w:t>Clinical and functional characteristics of chronic kidney disease in residents of urban and rural areas in the Kyrgyz Republic</w:t>
      </w:r>
    </w:p>
    <w:p w:rsidR="004C478A" w:rsidRDefault="004C478A" w:rsidP="004C478A">
      <w:pPr>
        <w:tabs>
          <w:tab w:val="left" w:pos="468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</w:pPr>
    </w:p>
    <w:p w:rsidR="004C478A" w:rsidRPr="00C07414" w:rsidRDefault="004C478A" w:rsidP="004C478A">
      <w:pPr>
        <w:tabs>
          <w:tab w:val="left" w:pos="4680"/>
        </w:tabs>
        <w:spacing w:after="0" w:line="360" w:lineRule="auto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C0741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I.T. M</w:t>
      </w:r>
      <w:r w:rsidR="00743160" w:rsidRPr="00C0741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urkamilov</w:t>
      </w:r>
      <w:r w:rsidRPr="00C0741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Pr="00C07414">
        <w:rPr>
          <w:rFonts w:ascii="Times New Roman" w:hAnsi="Times New Roman"/>
          <w:sz w:val="24"/>
          <w:szCs w:val="24"/>
          <w:vertAlign w:val="superscript"/>
          <w:lang w:val="en-US"/>
        </w:rPr>
        <w:t>1,2</w:t>
      </w:r>
    </w:p>
    <w:p w:rsidR="004C478A" w:rsidRPr="00C07414" w:rsidRDefault="004C478A" w:rsidP="004C478A">
      <w:pPr>
        <w:tabs>
          <w:tab w:val="left" w:pos="4680"/>
        </w:tabs>
        <w:spacing w:after="0" w:line="360" w:lineRule="auto"/>
        <w:rPr>
          <w:rFonts w:ascii="Times New Roman" w:hAnsi="Times New Roman"/>
          <w:sz w:val="24"/>
          <w:szCs w:val="24"/>
          <w:vertAlign w:val="superscript"/>
          <w:lang w:val="en-US"/>
        </w:rPr>
      </w:pPr>
    </w:p>
    <w:p w:rsidR="004C478A" w:rsidRPr="00C07414" w:rsidRDefault="004C478A" w:rsidP="004C478A">
      <w:pPr>
        <w:shd w:val="clear" w:color="auto" w:fill="FFFFFF"/>
        <w:spacing w:after="0" w:line="360" w:lineRule="auto"/>
        <w:textAlignment w:val="baseline"/>
        <w:rPr>
          <w:rFonts w:ascii="Times New Roman" w:hAnsi="Times New Roman"/>
          <w:color w:val="000000"/>
          <w:sz w:val="24"/>
          <w:szCs w:val="24"/>
          <w:lang w:val="en-US" w:eastAsia="ky-KG"/>
        </w:rPr>
      </w:pPr>
      <w:r w:rsidRPr="00C07414">
        <w:rPr>
          <w:rFonts w:ascii="Times New Roman" w:hAnsi="Times New Roman"/>
          <w:color w:val="000000"/>
          <w:sz w:val="24"/>
          <w:szCs w:val="24"/>
          <w:vertAlign w:val="superscript"/>
          <w:lang w:val="en-US" w:eastAsia="ky-KG"/>
        </w:rPr>
        <w:t xml:space="preserve">1 </w:t>
      </w:r>
      <w:r w:rsidRPr="00C0741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I.</w:t>
      </w:r>
      <w:r w:rsidRPr="00C07414">
        <w:rPr>
          <w:rFonts w:ascii="Times New Roman" w:hAnsi="Times New Roman"/>
          <w:color w:val="000000"/>
          <w:sz w:val="24"/>
          <w:szCs w:val="24"/>
          <w:lang w:val="en-US" w:eastAsia="ky-KG"/>
        </w:rPr>
        <w:t>K. Akhunbaev Kyrgyz State Medical Academy</w:t>
      </w:r>
    </w:p>
    <w:p w:rsidR="004C478A" w:rsidRPr="00C07414" w:rsidRDefault="004C478A" w:rsidP="004C478A">
      <w:pPr>
        <w:shd w:val="clear" w:color="auto" w:fill="FFFFFF"/>
        <w:spacing w:after="0" w:line="360" w:lineRule="auto"/>
        <w:textAlignment w:val="baseline"/>
        <w:rPr>
          <w:rFonts w:ascii="Times New Roman" w:hAnsi="Times New Roman"/>
          <w:color w:val="000000"/>
          <w:sz w:val="24"/>
          <w:szCs w:val="24"/>
          <w:lang w:val="en-US" w:eastAsia="ky-KG"/>
        </w:rPr>
      </w:pPr>
      <w:r w:rsidRPr="00C07414">
        <w:rPr>
          <w:rFonts w:ascii="Times New Roman" w:hAnsi="Times New Roman"/>
          <w:color w:val="000000"/>
          <w:sz w:val="24"/>
          <w:szCs w:val="24"/>
          <w:vertAlign w:val="superscript"/>
          <w:lang w:val="en-US" w:eastAsia="ky-KG"/>
        </w:rPr>
        <w:t xml:space="preserve">2 </w:t>
      </w:r>
      <w:r w:rsidRPr="00C07414">
        <w:rPr>
          <w:rFonts w:ascii="Times New Roman" w:hAnsi="Times New Roman"/>
          <w:color w:val="000000"/>
          <w:sz w:val="24"/>
          <w:szCs w:val="24"/>
          <w:lang w:val="en-US" w:eastAsia="ky-KG"/>
        </w:rPr>
        <w:t>Kyrgyz-Russian Slavic University named after the first President of Russia B.N. Yeltsin</w:t>
      </w:r>
    </w:p>
    <w:p w:rsidR="00423193" w:rsidRPr="00423193" w:rsidRDefault="00423193" w:rsidP="004C478A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07414">
        <w:rPr>
          <w:rFonts w:ascii="Times New Roman" w:hAnsi="Times New Roman"/>
          <w:sz w:val="24"/>
          <w:szCs w:val="24"/>
          <w:lang w:val="en-US"/>
        </w:rPr>
        <w:t>(Bishkek, Kyrgyzstan)</w:t>
      </w:r>
    </w:p>
    <w:p w:rsidR="004C478A" w:rsidRPr="004C478A" w:rsidRDefault="004C478A" w:rsidP="004C478A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C478A">
        <w:rPr>
          <w:rFonts w:ascii="Times New Roman" w:hAnsi="Times New Roman"/>
          <w:b/>
          <w:sz w:val="24"/>
          <w:szCs w:val="24"/>
          <w:lang w:val="en-US"/>
        </w:rPr>
        <w:t>Aim.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43160" w:rsidRPr="004C478A">
        <w:rPr>
          <w:rFonts w:ascii="Times New Roman" w:hAnsi="Times New Roman"/>
          <w:color w:val="000000"/>
          <w:sz w:val="24"/>
          <w:szCs w:val="24"/>
          <w:lang w:val="en-US"/>
        </w:rPr>
        <w:t>To study the clinical and functio</w:t>
      </w:r>
      <w:bookmarkStart w:id="0" w:name="_GoBack"/>
      <w:bookmarkEnd w:id="0"/>
      <w:r w:rsidR="00743160" w:rsidRPr="004C478A">
        <w:rPr>
          <w:rFonts w:ascii="Times New Roman" w:hAnsi="Times New Roman"/>
          <w:color w:val="000000"/>
          <w:sz w:val="24"/>
          <w:szCs w:val="24"/>
          <w:lang w:val="en-US"/>
        </w:rPr>
        <w:t xml:space="preserve">nal </w:t>
      </w:r>
      <w:r w:rsidR="00743160" w:rsidRPr="004C478A">
        <w:rPr>
          <w:rFonts w:ascii="Times New Roman" w:hAnsi="Times New Roman"/>
          <w:sz w:val="24"/>
          <w:szCs w:val="24"/>
          <w:lang w:val="en-US"/>
        </w:rPr>
        <w:t>characteristics</w:t>
      </w:r>
      <w:r w:rsidR="00743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43160" w:rsidRPr="004C478A">
        <w:rPr>
          <w:rFonts w:ascii="Times New Roman" w:hAnsi="Times New Roman"/>
          <w:color w:val="000000"/>
          <w:sz w:val="24"/>
          <w:szCs w:val="24"/>
          <w:lang w:val="en-US"/>
        </w:rPr>
        <w:t>of chronic kidney disease (CKD) among residents of urban and rural areas in the Kyrgyz Republic.</w:t>
      </w:r>
      <w:r w:rsidR="007431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743160">
        <w:rPr>
          <w:rFonts w:ascii="Times New Roman" w:hAnsi="Times New Roman"/>
          <w:b/>
          <w:sz w:val="24"/>
          <w:szCs w:val="24"/>
          <w:lang w:val="en-US"/>
        </w:rPr>
        <w:t>Material and methods.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 The work examined the data of 1403 patients with CKD. Depending on the living conditions, all participants were divided into residents of urban (n = 1082) and rural (n = 321) areas. </w:t>
      </w:r>
      <w:r>
        <w:rPr>
          <w:rFonts w:ascii="Times New Roman" w:hAnsi="Times New Roman"/>
          <w:sz w:val="24"/>
          <w:szCs w:val="24"/>
          <w:lang w:val="en-US"/>
        </w:rPr>
        <w:t xml:space="preserve">All participants underwent general clinical and laboratory studies. </w:t>
      </w:r>
      <w:r w:rsidR="00743160" w:rsidRPr="00743160">
        <w:rPr>
          <w:rFonts w:ascii="Times New Roman" w:hAnsi="Times New Roman"/>
          <w:sz w:val="24"/>
          <w:szCs w:val="24"/>
          <w:lang w:val="en-US"/>
        </w:rPr>
        <w:t>Glomerular filtration rate</w:t>
      </w:r>
      <w:r w:rsidR="00743160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(GFR) was calculated using the formula using serum creatinine CKD-EPI (chronic kidney disease, epidemiology), MDRD (diet modification for kidney disease), and creatinine clearance according to the Cockcroft-Gault method. Steps (C) are established in accordance with the recommendations of the NKF / KDOQI (National Kidney Organization / Kidney Disease Outcomes Initiative) proposed in 2009. Risk factors for the development and progression of CKD were analyzed. 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Overweight (BMI) was determined with a body mass index (BMI) of 25–29.9 kg / m2; obesity - with a BMI of ≥30 kg / m2. Persons with an increase in heart rate (HR) &gt; 80 beats / min at rest were distinguished. </w:t>
      </w:r>
      <w:r>
        <w:rPr>
          <w:rFonts w:ascii="Times New Roman" w:hAnsi="Times New Roman"/>
          <w:sz w:val="24"/>
          <w:szCs w:val="24"/>
          <w:lang w:val="en-US"/>
        </w:rPr>
        <w:t xml:space="preserve">For arterial hypertension, a level of systolic and / or diastolic blood pressure greater than or equal to 140/90 mm Hg was taken. In each group, anemia was detected in the study participants (hemoglobin &lt;120 g/l in women, &lt;130 g/l in men), hyperuricemia (uric acid concentration in the blood &gt; 0.35 mmol / l in women, &gt; 0.42 mmol / l in men), hypercholesterolemia - GHS (total cholesterol&gt; 5.01 mmol / l) and proteinuria (pathological protein excretion in daily urine and / or single morning urine). </w:t>
      </w:r>
      <w:r w:rsidRPr="004C478A">
        <w:rPr>
          <w:rFonts w:ascii="Times New Roman" w:hAnsi="Times New Roman"/>
          <w:b/>
          <w:sz w:val="24"/>
          <w:szCs w:val="24"/>
          <w:lang w:val="en-US"/>
        </w:rPr>
        <w:t>Results.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 In urban and rural residents, the estimated GFR values ​​according to the formulas CKD-EPI and MDRD did not significantly differ. </w:t>
      </w:r>
      <w:r>
        <w:rPr>
          <w:rFonts w:ascii="Times New Roman" w:hAnsi="Times New Roman"/>
          <w:sz w:val="24"/>
          <w:szCs w:val="24"/>
          <w:lang w:val="en-US"/>
        </w:rPr>
        <w:t xml:space="preserve">Cockcroft-Gault creatinine clearance showed higher GFR values ​​especially in the early stages of CKD in both populations. The median of serum creatinine was significantly higher in urban residents at stage 5 of CKD (p &lt;0.05). The prevalence of BMI at stage 1 among urban residents was significantly higher (27.5% versus 14.7%), and among rural residents at stage 4 CKD (40.0% versus 28.2%; p &lt;0.05). At stages 1 and 2 of CKD, obesity was significantly more frequently detected in rural residents. The proportion of study participants with an increase in heart rate of more than 80 beats / min was significantly higher among rural residents with stage 1 CKD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(31.1 vs 19.5%; p &lt;0.05). In urban areas, there was a high prevalence of anemia (84.0 vs 69.8%; p &lt;0.05), HCS (63.1 vs 13.9%; p &lt;0.05), hyperuricemia (76.9 vs 21,5%; p &lt;0.05) and proteinuria (44.2 vs 7.5%; p &lt;0.05) compared with rural residents. </w:t>
      </w:r>
      <w:r w:rsidRPr="004C478A">
        <w:rPr>
          <w:rFonts w:ascii="Times New Roman" w:hAnsi="Times New Roman"/>
          <w:b/>
          <w:sz w:val="24"/>
          <w:szCs w:val="24"/>
          <w:lang w:val="en-US"/>
        </w:rPr>
        <w:t>Conclusion.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 In patients with CKD - ​​residents of urban and rural areas in the Kyrgyz Republic, the estimated GFR values ​​according to the formulas CKD-EPI and MDRD at different stages of the disease do not significantly differ. Cockcroft-Gault creatinine clearance yields higher GFR values ​​especially in the early stages of CKD in both populations. In urban dwellers, CKD is significantly more often associated with ISM (1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), anemia (5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), HCS (5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), hyperuricemia (4 and 5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 and proteinuria (5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). People with CKD living in rural areas have a higher prevalence of obesity (1 and 2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), BMI (4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), increased heart rate &gt; 80 beats / min (1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 xml:space="preserve">) and proteinuria (3b </w:t>
      </w:r>
      <w:r w:rsidR="00423193" w:rsidRPr="00423193">
        <w:rPr>
          <w:rFonts w:ascii="Times New Roman" w:hAnsi="Times New Roman"/>
          <w:sz w:val="24"/>
          <w:szCs w:val="24"/>
          <w:lang w:val="en-US"/>
        </w:rPr>
        <w:t>stage</w:t>
      </w:r>
      <w:r w:rsidRPr="004C478A">
        <w:rPr>
          <w:rFonts w:ascii="Times New Roman" w:hAnsi="Times New Roman"/>
          <w:sz w:val="24"/>
          <w:szCs w:val="24"/>
          <w:lang w:val="en-US"/>
        </w:rPr>
        <w:t>).</w:t>
      </w:r>
    </w:p>
    <w:sectPr w:rsidR="004C478A" w:rsidRPr="004C478A">
      <w:footerReference w:type="default" r:id="rId7"/>
      <w:pgSz w:w="11906" w:h="16838"/>
      <w:pgMar w:top="70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C73" w:rsidRDefault="009F0C73" w:rsidP="009A6820">
      <w:pPr>
        <w:spacing w:after="0" w:line="240" w:lineRule="auto"/>
      </w:pPr>
      <w:r>
        <w:separator/>
      </w:r>
    </w:p>
  </w:endnote>
  <w:endnote w:type="continuationSeparator" w:id="0">
    <w:p w:rsidR="009F0C73" w:rsidRDefault="009F0C73" w:rsidP="009A6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3222915"/>
      <w:docPartObj>
        <w:docPartGallery w:val="Page Numbers (Bottom of Page)"/>
        <w:docPartUnique/>
      </w:docPartObj>
    </w:sdtPr>
    <w:sdtContent>
      <w:p w:rsidR="009A6820" w:rsidRDefault="009A682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C73">
          <w:rPr>
            <w:noProof/>
          </w:rPr>
          <w:t>1</w:t>
        </w:r>
        <w:r>
          <w:fldChar w:fldCharType="end"/>
        </w:r>
      </w:p>
    </w:sdtContent>
  </w:sdt>
  <w:p w:rsidR="009A6820" w:rsidRDefault="009A68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C73" w:rsidRDefault="009F0C73" w:rsidP="009A6820">
      <w:pPr>
        <w:spacing w:after="0" w:line="240" w:lineRule="auto"/>
      </w:pPr>
      <w:r>
        <w:separator/>
      </w:r>
    </w:p>
  </w:footnote>
  <w:footnote w:type="continuationSeparator" w:id="0">
    <w:p w:rsidR="009F0C73" w:rsidRDefault="009F0C73" w:rsidP="009A6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78A"/>
    <w:rsid w:val="00423193"/>
    <w:rsid w:val="004C478A"/>
    <w:rsid w:val="00743160"/>
    <w:rsid w:val="009A6820"/>
    <w:rsid w:val="009F0C73"/>
    <w:rsid w:val="00BD37F7"/>
    <w:rsid w:val="00C07414"/>
    <w:rsid w:val="00D0675D"/>
    <w:rsid w:val="00EE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y-K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8A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6820"/>
    <w:rPr>
      <w:rFonts w:ascii="Calibri" w:eastAsia="Times New Roman" w:hAnsi="Calibri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9A6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6820"/>
    <w:rPr>
      <w:rFonts w:ascii="Calibri" w:eastAsia="Times New Roman" w:hAnsi="Calibri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y-K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8A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6820"/>
    <w:rPr>
      <w:rFonts w:ascii="Calibri" w:eastAsia="Times New Roman" w:hAnsi="Calibri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9A6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6820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8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2019-12-21T06:06:00Z</dcterms:created>
  <dcterms:modified xsi:type="dcterms:W3CDTF">2019-12-21T07:38:00Z</dcterms:modified>
</cp:coreProperties>
</file>