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NOVEL  SELF REPAIR NON INVASIVE  APPROACH  FOR CHRONIC KIDNEY DISEASES</w:t>
      </w:r>
    </w:p>
    <w:p w:rsidR="00000000" w:rsidDel="00000000" w:rsidP="00000000" w:rsidRDefault="00000000" w:rsidRPr="00000000" w14:paraId="00000001">
      <w:pPr>
        <w:spacing w:line="24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ind w:lef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Shrikant L. Kulkarni</w:t>
      </w:r>
    </w:p>
    <w:p w:rsidR="00000000" w:rsidDel="00000000" w:rsidP="00000000" w:rsidRDefault="00000000" w:rsidRPr="00000000" w14:paraId="00000003">
      <w:pPr>
        <w:spacing w:line="24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Kulkarni Clinic, 175/1 Balwant Station Road, Near Post Office, Chinchwad Gaon Pune 411033, Maharashtra, India</w:t>
      </w:r>
    </w:p>
    <w:p w:rsidR="00000000" w:rsidDel="00000000" w:rsidP="00000000" w:rsidRDefault="00000000" w:rsidRPr="00000000" w14:paraId="00000004">
      <w:pPr>
        <w:spacing w:line="240" w:lineRule="auto"/>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spacing w:line="240" w:lineRule="auto"/>
        <w:contextualSpacing w:val="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Abstract</w:t>
      </w:r>
    </w:p>
    <w:p w:rsidR="00000000" w:rsidDel="00000000" w:rsidP="00000000" w:rsidRDefault="00000000" w:rsidRPr="00000000" w14:paraId="00000006">
      <w:pPr>
        <w:spacing w:line="240" w:lineRule="auto"/>
        <w:ind w:firstLine="720"/>
        <w:contextualSpacing w:val="0"/>
        <w:jc w:val="both"/>
        <w:rPr>
          <w:rFonts w:ascii="Times New Roman" w:cs="Times New Roman" w:eastAsia="Times New Roman" w:hAnsi="Times New Roman"/>
          <w:sz w:val="24"/>
          <w:szCs w:val="24"/>
        </w:rPr>
        <w:sectPr>
          <w:pgSz w:h="15840" w:w="12240"/>
          <w:pgMar w:bottom="1440" w:top="1440" w:left="1440" w:right="1440" w:header="0"/>
          <w:pgNumType w:start="1"/>
        </w:sectPr>
      </w:pPr>
      <w:r w:rsidDel="00000000" w:rsidR="00000000" w:rsidRPr="00000000">
        <w:rPr>
          <w:rtl w:val="0"/>
        </w:rPr>
      </w:r>
    </w:p>
    <w:p w:rsidR="00000000" w:rsidDel="00000000" w:rsidP="00000000" w:rsidRDefault="00000000" w:rsidRPr="00000000" w14:paraId="00000007">
      <w:pPr>
        <w:spacing w:line="276" w:lineRule="auto"/>
        <w:ind w:left="0" w:firstLine="0"/>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 dysfunction and failure  are major health problem  affecting millions of  patients,  many are desperate even after organ transplant due to drug toxicity and complications. For last 65 years kidney transplant is the only  treatment since the first transplant was done in early 1950’s. Despite biological and technical advances in stem cell research, strategy to reconstruct a totally disrupted human  kidney remains out of reach due to fibrosis and toxic micro-environmental conditions. The ultimate dream goal for clinical therapy is disease regression and restore function in the failed organ. </w:t>
      </w:r>
      <w:r w:rsidDel="00000000" w:rsidR="00000000" w:rsidRPr="00000000">
        <w:rPr>
          <w:rFonts w:ascii="Times New Roman" w:cs="Times New Roman" w:eastAsia="Times New Roman" w:hAnsi="Times New Roman"/>
          <w:sz w:val="20"/>
          <w:szCs w:val="20"/>
          <w:rtl w:val="0"/>
        </w:rPr>
        <w:t xml:space="preserve">Self repairing with one's own stem cells, will be an alternative method to repair these damaged organs.</w:t>
      </w:r>
    </w:p>
    <w:p w:rsidR="00000000" w:rsidDel="00000000" w:rsidP="00000000" w:rsidRDefault="00000000" w:rsidRPr="00000000" w14:paraId="00000008">
      <w:pPr>
        <w:spacing w:line="276" w:lineRule="auto"/>
        <w:ind w:left="0" w:firstLine="0"/>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kidney repairs by fibrosis after injury, in-spite the availability of adequate stem cells and  mechanisms to repair damaged kidney. Although there is enough </w:t>
      </w:r>
      <w:r w:rsidDel="00000000" w:rsidR="00000000" w:rsidRPr="00000000">
        <w:rPr>
          <w:rFonts w:ascii="Times New Roman" w:cs="Times New Roman" w:eastAsia="Times New Roman" w:hAnsi="Times New Roman"/>
          <w:sz w:val="20"/>
          <w:szCs w:val="20"/>
          <w:rtl w:val="0"/>
        </w:rPr>
        <w:t xml:space="preserve">availability of blood supply, physiological hypoxia  develops in kidney due to reduced microvascular blood flow. Hypoxia causes insufficient angiogenesis and fibrosis resulting in pericyte loss. To reduce hypoxia new blood vessels formation requires massive attention. At present proved treatment specifically  targeted to fibrosis  is almost non-existent. </w:t>
      </w:r>
      <w:r w:rsidDel="00000000" w:rsidR="00000000" w:rsidRPr="00000000">
        <w:rPr>
          <w:rFonts w:ascii="Times New Roman" w:cs="Times New Roman" w:eastAsia="Times New Roman" w:hAnsi="Times New Roman"/>
          <w:sz w:val="20"/>
          <w:szCs w:val="20"/>
          <w:rtl w:val="0"/>
        </w:rPr>
        <w:t xml:space="preserve">A novel self repair method is proposed to dissolve or degenerate fibrosis to create supporting host micro-environment. By improving  microcirculation, which will speed up the  regeneration  by the host endogenous cells and reverse the lost kidney function.</w:t>
      </w:r>
    </w:p>
    <w:p w:rsidR="00000000" w:rsidDel="00000000" w:rsidP="00000000" w:rsidRDefault="00000000" w:rsidRPr="00000000" w14:paraId="00000009">
      <w:pPr>
        <w:spacing w:line="276" w:lineRule="auto"/>
        <w:ind w:left="0" w:firstLine="0"/>
        <w:contextualSpacing w:val="0"/>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rtl w:val="0"/>
        </w:rPr>
        <w:t xml:space="preserve">The self repairing method suggests following steps for treatment i) the pelvi–ureteric junction (PUJ) is blocked to create  hydronephrotic condition, ii) due to increased back pressure the fibrosed renal parenchyma is  degenerated iii) remove the artificial block  at  PUJ  Improved function of surviving nephrons can be achieved by adequate oxygenation to ischemic real tissue by renal microvascular regeneration alone. T</w:t>
      </w:r>
      <w:r w:rsidDel="00000000" w:rsidR="00000000" w:rsidRPr="00000000">
        <w:rPr>
          <w:rFonts w:ascii="Times New Roman" w:cs="Times New Roman" w:eastAsia="Times New Roman" w:hAnsi="Times New Roman"/>
          <w:sz w:val="20"/>
          <w:szCs w:val="20"/>
          <w:rtl w:val="0"/>
        </w:rPr>
        <w:t xml:space="preserve">heoretically</w:t>
      </w:r>
      <w:r w:rsidDel="00000000" w:rsidR="00000000" w:rsidRPr="00000000">
        <w:rPr>
          <w:rFonts w:ascii="Times New Roman" w:cs="Times New Roman" w:eastAsia="Times New Roman" w:hAnsi="Times New Roman"/>
          <w:sz w:val="20"/>
          <w:szCs w:val="20"/>
          <w:highlight w:val="white"/>
          <w:rtl w:val="0"/>
        </w:rPr>
        <w:t xml:space="preserve"> the prognosis is that the stem cell niches between renal capsule and the cortex along with surviving nephrons will initiate regeneration of </w:t>
      </w:r>
      <w:r w:rsidDel="00000000" w:rsidR="00000000" w:rsidRPr="00000000">
        <w:rPr>
          <w:rFonts w:ascii="Times New Roman" w:cs="Times New Roman" w:eastAsia="Times New Roman" w:hAnsi="Times New Roman"/>
          <w:sz w:val="20"/>
          <w:szCs w:val="20"/>
          <w:rtl w:val="0"/>
        </w:rPr>
        <w:t xml:space="preserve"> new functioning renal  organ</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0A">
      <w:pPr>
        <w:spacing w:line="240" w:lineRule="auto"/>
        <w:contextualSpacing w:val="0"/>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B">
      <w:pPr>
        <w:shd w:fill="ffffff" w:val="clear"/>
        <w:spacing w:after="0" w:before="0" w:line="240" w:lineRule="auto"/>
        <w:contextualSpacing w:val="0"/>
        <w:rPr>
          <w:rFonts w:ascii="Times New Roman" w:cs="Times New Roman" w:eastAsia="Times New Roman" w:hAnsi="Times New Roman"/>
          <w:sz w:val="20"/>
          <w:szCs w:val="20"/>
        </w:rPr>
      </w:pPr>
      <w:r w:rsidDel="00000000" w:rsidR="00000000" w:rsidRPr="00000000">
        <w:rPr>
          <w:rFonts w:ascii="Calibri" w:cs="Calibri" w:eastAsia="Calibri" w:hAnsi="Calibri"/>
          <w:b w:val="1"/>
          <w:color w:val="000000"/>
          <w:sz w:val="20"/>
          <w:szCs w:val="20"/>
          <w:rtl w:val="0"/>
        </w:rPr>
        <w:t xml:space="preserve">References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C">
      <w:pPr>
        <w:spacing w:line="240" w:lineRule="auto"/>
        <w:contextualSpacing w:val="0"/>
        <w:rPr>
          <w:rFonts w:ascii="Times New Roman" w:cs="Times New Roman" w:eastAsia="Times New Roman" w:hAnsi="Times New Roman"/>
          <w:color w:val="0d0d0d"/>
          <w:sz w:val="20"/>
          <w:szCs w:val="20"/>
          <w:highlight w:val="white"/>
        </w:rPr>
      </w:pPr>
      <w:r w:rsidDel="00000000" w:rsidR="00000000" w:rsidRPr="00000000">
        <w:rPr>
          <w:rFonts w:ascii="Times New Roman" w:cs="Times New Roman" w:eastAsia="Times New Roman" w:hAnsi="Times New Roman"/>
          <w:color w:val="0d0d0d"/>
          <w:sz w:val="20"/>
          <w:szCs w:val="20"/>
          <w:highlight w:val="white"/>
          <w:rtl w:val="0"/>
        </w:rPr>
        <w:t xml:space="preserve">Palm, Fredrik, and Lina Nordquist. 2011. “Renal Tubulointerstitial Hypoxia: Cause and Consequence of Kidney Dysfunction.” Clinical and Experimental Pharmacology &amp; Physiology 38 (7):474–80.</w:t>
      </w:r>
    </w:p>
    <w:p w:rsidR="00000000" w:rsidDel="00000000" w:rsidP="00000000" w:rsidRDefault="00000000" w:rsidRPr="00000000" w14:paraId="0000000D">
      <w:pPr>
        <w:spacing w:line="240" w:lineRule="auto"/>
        <w:contextualSpacing w:val="0"/>
        <w:rPr>
          <w:rFonts w:ascii="Times New Roman" w:cs="Times New Roman" w:eastAsia="Times New Roman" w:hAnsi="Times New Roman"/>
          <w:color w:val="0d0d0d"/>
          <w:sz w:val="20"/>
          <w:szCs w:val="20"/>
          <w:highlight w:val="white"/>
        </w:rPr>
      </w:pPr>
      <w:r w:rsidDel="00000000" w:rsidR="00000000" w:rsidRPr="00000000">
        <w:rPr>
          <w:rtl w:val="0"/>
        </w:rPr>
      </w:r>
    </w:p>
    <w:p w:rsidR="00000000" w:rsidDel="00000000" w:rsidP="00000000" w:rsidRDefault="00000000" w:rsidRPr="00000000" w14:paraId="0000000E">
      <w:pPr>
        <w:spacing w:line="240" w:lineRule="auto"/>
        <w:contextualSpacing w:val="0"/>
        <w:rPr>
          <w:rFonts w:ascii="Times New Roman" w:cs="Times New Roman" w:eastAsia="Times New Roman" w:hAnsi="Times New Roman"/>
          <w:color w:val="0d0d0d"/>
          <w:sz w:val="20"/>
          <w:szCs w:val="20"/>
          <w:highlight w:val="white"/>
        </w:rPr>
      </w:pPr>
      <w:r w:rsidDel="00000000" w:rsidR="00000000" w:rsidRPr="00000000">
        <w:rPr>
          <w:rFonts w:ascii="Times New Roman" w:cs="Times New Roman" w:eastAsia="Times New Roman" w:hAnsi="Times New Roman"/>
          <w:color w:val="0d0d0d"/>
          <w:sz w:val="20"/>
          <w:szCs w:val="20"/>
          <w:highlight w:val="white"/>
          <w:rtl w:val="0"/>
        </w:rPr>
        <w:t xml:space="preserve">D. Fanni, A. Sanna,corresponding author C. Gerosa, M. Puddu, G. Faa, and V. Fanos, 2015 ”Each niche has an actor: multiple stem cell niches in the preterm kidney”, Ital J Pediatr. 2015; 41: 78.</w:t>
      </w:r>
    </w:p>
    <w:p w:rsidR="00000000" w:rsidDel="00000000" w:rsidP="00000000" w:rsidRDefault="00000000" w:rsidRPr="00000000" w14:paraId="0000000F">
      <w:pPr>
        <w:spacing w:line="240" w:lineRule="auto"/>
        <w:contextualSpacing w:val="0"/>
        <w:rPr>
          <w:rFonts w:ascii="Times New Roman" w:cs="Times New Roman" w:eastAsia="Times New Roman" w:hAnsi="Times New Roman"/>
          <w:color w:val="0d0d0d"/>
          <w:sz w:val="20"/>
          <w:szCs w:val="20"/>
          <w:highlight w:val="white"/>
        </w:rPr>
      </w:pPr>
      <w:r w:rsidDel="00000000" w:rsidR="00000000" w:rsidRPr="00000000">
        <w:rPr>
          <w:rtl w:val="0"/>
        </w:rPr>
      </w:r>
    </w:p>
    <w:p w:rsidR="00000000" w:rsidDel="00000000" w:rsidP="00000000" w:rsidRDefault="00000000" w:rsidRPr="00000000" w14:paraId="00000010">
      <w:pPr>
        <w:spacing w:line="240" w:lineRule="auto"/>
        <w:contextualSpacing w:val="0"/>
        <w:rPr>
          <w:rFonts w:ascii="Times New Roman" w:cs="Times New Roman" w:eastAsia="Times New Roman" w:hAnsi="Times New Roman"/>
          <w:color w:val="0d0d0d"/>
          <w:sz w:val="20"/>
          <w:szCs w:val="20"/>
          <w:highlight w:val="white"/>
        </w:rPr>
      </w:pPr>
      <w:r w:rsidDel="00000000" w:rsidR="00000000" w:rsidRPr="00000000">
        <w:rPr>
          <w:rFonts w:ascii="Times New Roman" w:cs="Times New Roman" w:eastAsia="Times New Roman" w:hAnsi="Times New Roman"/>
          <w:color w:val="0d0d0d"/>
          <w:sz w:val="20"/>
          <w:szCs w:val="20"/>
          <w:highlight w:val="white"/>
          <w:rtl w:val="0"/>
        </w:rPr>
        <w:t xml:space="preserve">Ballermann, Barbara J., and Marya Obeidat. 2014. “Tipping the Balance from Angiogenesis to Fibrosis in CKD.” Kidney International. Supplement 4 (1):45–52.</w:t>
      </w:r>
    </w:p>
    <w:p w:rsidR="00000000" w:rsidDel="00000000" w:rsidP="00000000" w:rsidRDefault="00000000" w:rsidRPr="00000000" w14:paraId="00000011">
      <w:pPr>
        <w:spacing w:line="240" w:lineRule="auto"/>
        <w:contextualSpacing w:val="0"/>
        <w:rPr>
          <w:rFonts w:ascii="Times New Roman" w:cs="Times New Roman" w:eastAsia="Times New Roman" w:hAnsi="Times New Roman"/>
          <w:color w:val="0d0d0d"/>
          <w:sz w:val="20"/>
          <w:szCs w:val="20"/>
          <w:highlight w:val="white"/>
        </w:rPr>
      </w:pPr>
      <w:r w:rsidDel="00000000" w:rsidR="00000000" w:rsidRPr="00000000">
        <w:rPr>
          <w:rtl w:val="0"/>
        </w:rPr>
      </w:r>
    </w:p>
    <w:p w:rsidR="00000000" w:rsidDel="00000000" w:rsidP="00000000" w:rsidRDefault="00000000" w:rsidRPr="00000000" w14:paraId="00000012">
      <w:pPr>
        <w:spacing w:line="240" w:lineRule="auto"/>
        <w:contextualSpacing w:val="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color w:val="0d0d0d"/>
          <w:sz w:val="20"/>
          <w:szCs w:val="20"/>
          <w:highlight w:val="white"/>
          <w:rtl w:val="0"/>
        </w:rPr>
        <w:t xml:space="preserve">Yokote, Shinya, and Takashi Yokoo. 2012. “Stem Cells in Kidney Regeneration.” </w:t>
      </w:r>
      <w:r w:rsidDel="00000000" w:rsidR="00000000" w:rsidRPr="00000000">
        <w:rPr>
          <w:rFonts w:ascii="Times New Roman" w:cs="Times New Roman" w:eastAsia="Times New Roman" w:hAnsi="Times New Roman"/>
          <w:i w:val="1"/>
          <w:color w:val="0d0d0d"/>
          <w:sz w:val="20"/>
          <w:szCs w:val="20"/>
          <w:highlight w:val="white"/>
          <w:rtl w:val="0"/>
        </w:rPr>
        <w:t xml:space="preserve">Current Medicinal Chemistry</w:t>
      </w:r>
      <w:r w:rsidDel="00000000" w:rsidR="00000000" w:rsidRPr="00000000">
        <w:rPr>
          <w:rFonts w:ascii="Times New Roman" w:cs="Times New Roman" w:eastAsia="Times New Roman" w:hAnsi="Times New Roman"/>
          <w:color w:val="0d0d0d"/>
          <w:sz w:val="20"/>
          <w:szCs w:val="20"/>
          <w:highlight w:val="white"/>
          <w:rtl w:val="0"/>
        </w:rPr>
        <w:t xml:space="preserve"> 19 (35):6009–17.</w:t>
      </w:r>
      <w:r w:rsidDel="00000000" w:rsidR="00000000" w:rsidRPr="00000000">
        <w:rPr>
          <w:rtl w:val="0"/>
        </w:rPr>
      </w:r>
    </w:p>
    <w:p w:rsidR="00000000" w:rsidDel="00000000" w:rsidP="00000000" w:rsidRDefault="00000000" w:rsidRPr="00000000" w14:paraId="00000013">
      <w:pPr>
        <w:spacing w:after="220" w:line="240" w:lineRule="auto"/>
        <w:contextualSpacing w:val="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Kawakami T, Mimura I, Shoji K, Tanaka T, Nangaku M. 2014. “Hypoxia and fibrosis in chronic kidney disease: crossing at pericytes”</w:t>
      </w:r>
      <w:r w:rsidDel="00000000" w:rsidR="00000000" w:rsidRPr="00000000">
        <w:rPr>
          <w:rFonts w:ascii="Times New Roman" w:cs="Times New Roman" w:eastAsia="Times New Roman" w:hAnsi="Times New Roman"/>
          <w:i w:val="1"/>
          <w:sz w:val="20"/>
          <w:szCs w:val="20"/>
          <w:highlight w:val="white"/>
          <w:rtl w:val="0"/>
        </w:rPr>
        <w:t xml:space="preserve">Kidney Int. Suppl.</w:t>
      </w:r>
      <w:r w:rsidDel="00000000" w:rsidR="00000000" w:rsidRPr="00000000">
        <w:rPr>
          <w:rFonts w:ascii="Times New Roman" w:cs="Times New Roman" w:eastAsia="Times New Roman" w:hAnsi="Times New Roman"/>
          <w:sz w:val="20"/>
          <w:szCs w:val="20"/>
          <w:highlight w:val="white"/>
          <w:rtl w:val="0"/>
        </w:rPr>
        <w:t xml:space="preserve">, 2014</w:t>
      </w:r>
    </w:p>
    <w:p w:rsidR="00000000" w:rsidDel="00000000" w:rsidP="00000000" w:rsidRDefault="00000000" w:rsidRPr="00000000" w14:paraId="00000014">
      <w:pPr>
        <w:spacing w:after="220" w:line="240" w:lineRule="auto"/>
        <w:contextualSpacing w:val="0"/>
        <w:rPr>
          <w:sz w:val="20"/>
          <w:szCs w:val="20"/>
        </w:rPr>
      </w:pPr>
      <w:hyperlink r:id="rId6">
        <w:r w:rsidDel="00000000" w:rsidR="00000000" w:rsidRPr="00000000">
          <w:rPr>
            <w:rFonts w:ascii="Times New Roman" w:cs="Times New Roman" w:eastAsia="Times New Roman" w:hAnsi="Times New Roman"/>
            <w:sz w:val="20"/>
            <w:szCs w:val="20"/>
            <w:highlight w:val="white"/>
            <w:rtl w:val="0"/>
          </w:rPr>
          <w:t xml:space="preserve">Fanni, D., A. Sanna, C. Gerosa, M. Puddu, G. Faa, and V. Fanos. 2015. “Each Niche Has an Actor: Multiple Stem Cell Niches in the Preterm Kidney.” </w:t>
        </w:r>
      </w:hyperlink>
      <w:hyperlink r:id="rId7">
        <w:r w:rsidDel="00000000" w:rsidR="00000000" w:rsidRPr="00000000">
          <w:rPr>
            <w:rFonts w:ascii="Times New Roman" w:cs="Times New Roman" w:eastAsia="Times New Roman" w:hAnsi="Times New Roman"/>
            <w:i w:val="1"/>
            <w:sz w:val="20"/>
            <w:szCs w:val="20"/>
            <w:highlight w:val="white"/>
            <w:rtl w:val="0"/>
          </w:rPr>
          <w:t xml:space="preserve">Italian Journal of Pediatrics</w:t>
        </w:r>
      </w:hyperlink>
      <w:hyperlink r:id="rId8">
        <w:r w:rsidDel="00000000" w:rsidR="00000000" w:rsidRPr="00000000">
          <w:rPr>
            <w:rFonts w:ascii="Times New Roman" w:cs="Times New Roman" w:eastAsia="Times New Roman" w:hAnsi="Times New Roman"/>
            <w:sz w:val="20"/>
            <w:szCs w:val="20"/>
            <w:highlight w:val="white"/>
            <w:rtl w:val="0"/>
          </w:rPr>
          <w:t xml:space="preserve"> 41 (October):78.</w:t>
        </w:r>
      </w:hyperlink>
      <w:r w:rsidDel="00000000" w:rsidR="00000000" w:rsidRPr="00000000">
        <w:rPr>
          <w:rtl w:val="0"/>
        </w:rPr>
      </w:r>
    </w:p>
    <w:p w:rsidR="00000000" w:rsidDel="00000000" w:rsidP="00000000" w:rsidRDefault="00000000" w:rsidRPr="00000000" w14:paraId="00000015">
      <w:pPr>
        <w:spacing w:after="220" w:line="240" w:lineRule="auto"/>
        <w:contextualSpacing w:val="0"/>
        <w:rPr>
          <w:rFonts w:ascii="Times New Roman" w:cs="Times New Roman" w:eastAsia="Times New Roman" w:hAnsi="Times New Roman"/>
          <w:sz w:val="20"/>
          <w:szCs w:val="20"/>
          <w:highlight w:val="white"/>
        </w:rPr>
      </w:pPr>
      <w:hyperlink r:id="rId9">
        <w:r w:rsidDel="00000000" w:rsidR="00000000" w:rsidRPr="00000000">
          <w:rPr>
            <w:rFonts w:ascii="Times New Roman" w:cs="Times New Roman" w:eastAsia="Times New Roman" w:hAnsi="Times New Roman"/>
            <w:sz w:val="20"/>
            <w:szCs w:val="20"/>
            <w:highlight w:val="white"/>
            <w:rtl w:val="0"/>
          </w:rPr>
          <w:t xml:space="preserve">“KDOQI Clinical Practice Guidelines and Clinical Practice Recommendations for Diabetes and Chronic Kidney Disease.” 2007. </w:t>
        </w:r>
      </w:hyperlink>
      <w:hyperlink r:id="rId10">
        <w:r w:rsidDel="00000000" w:rsidR="00000000" w:rsidRPr="00000000">
          <w:rPr>
            <w:rFonts w:ascii="Times New Roman" w:cs="Times New Roman" w:eastAsia="Times New Roman" w:hAnsi="Times New Roman"/>
            <w:i w:val="1"/>
            <w:sz w:val="20"/>
            <w:szCs w:val="20"/>
            <w:highlight w:val="white"/>
            <w:rtl w:val="0"/>
          </w:rPr>
          <w:t xml:space="preserve">American Journal of Kidney Diseases: The Official Journal of the National Kidney Foundation</w:t>
        </w:r>
      </w:hyperlink>
      <w:hyperlink r:id="rId11">
        <w:r w:rsidDel="00000000" w:rsidR="00000000" w:rsidRPr="00000000">
          <w:rPr>
            <w:rFonts w:ascii="Times New Roman" w:cs="Times New Roman" w:eastAsia="Times New Roman" w:hAnsi="Times New Roman"/>
            <w:sz w:val="20"/>
            <w:szCs w:val="20"/>
            <w:highlight w:val="white"/>
            <w:rtl w:val="0"/>
          </w:rPr>
          <w:t xml:space="preserve"> 49 (2):S12–154.</w:t>
        </w:r>
      </w:hyperlink>
      <w:r w:rsidDel="00000000" w:rsidR="00000000" w:rsidRPr="00000000">
        <w:rPr>
          <w:rtl w:val="0"/>
        </w:rPr>
      </w:r>
    </w:p>
    <w:p w:rsidR="00000000" w:rsidDel="00000000" w:rsidP="00000000" w:rsidRDefault="00000000" w:rsidRPr="00000000" w14:paraId="00000016">
      <w:pPr>
        <w:widowControl w:val="0"/>
        <w:spacing w:line="240" w:lineRule="auto"/>
        <w:contextualSpacing w:val="0"/>
        <w:rPr>
          <w:rFonts w:ascii="Times New Roman" w:cs="Times New Roman" w:eastAsia="Times New Roman" w:hAnsi="Times New Roman"/>
          <w:sz w:val="20"/>
          <w:szCs w:val="20"/>
          <w:highlight w:val="white"/>
        </w:rPr>
      </w:pPr>
      <w:hyperlink r:id="rId12">
        <w:r w:rsidDel="00000000" w:rsidR="00000000" w:rsidRPr="00000000">
          <w:rPr>
            <w:rFonts w:ascii="Times New Roman" w:cs="Times New Roman" w:eastAsia="Times New Roman" w:hAnsi="Times New Roman"/>
            <w:sz w:val="20"/>
            <w:szCs w:val="20"/>
            <w:highlight w:val="white"/>
            <w:rtl w:val="0"/>
          </w:rPr>
          <w:t xml:space="preserve">Levey, Andrew S., Josef Coresh, Ethan Balk, Annamaria T. Kausz, Adeera Levin, Michael W. Steffes, Ronald J. Hogg, et al. 2003. “National Kidney Foundation Practice Guidelines for Chronic Kidney Disease: Evaluation, Classification, and Stratification.” </w:t>
        </w:r>
      </w:hyperlink>
      <w:hyperlink r:id="rId13">
        <w:r w:rsidDel="00000000" w:rsidR="00000000" w:rsidRPr="00000000">
          <w:rPr>
            <w:rFonts w:ascii="Times New Roman" w:cs="Times New Roman" w:eastAsia="Times New Roman" w:hAnsi="Times New Roman"/>
            <w:i w:val="1"/>
            <w:sz w:val="20"/>
            <w:szCs w:val="20"/>
            <w:highlight w:val="white"/>
            <w:rtl w:val="0"/>
          </w:rPr>
          <w:t xml:space="preserve">Annals of Internal Medicine</w:t>
        </w:r>
      </w:hyperlink>
      <w:hyperlink r:id="rId14">
        <w:r w:rsidDel="00000000" w:rsidR="00000000" w:rsidRPr="00000000">
          <w:rPr>
            <w:rFonts w:ascii="Times New Roman" w:cs="Times New Roman" w:eastAsia="Times New Roman" w:hAnsi="Times New Roman"/>
            <w:sz w:val="20"/>
            <w:szCs w:val="20"/>
            <w:highlight w:val="white"/>
            <w:rtl w:val="0"/>
          </w:rPr>
          <w:t xml:space="preserve"> 139 (2):137–47.</w:t>
        </w:r>
      </w:hyperlink>
      <w:r w:rsidDel="00000000" w:rsidR="00000000" w:rsidRPr="00000000">
        <w:rPr>
          <w:rtl w:val="0"/>
        </w:rPr>
      </w:r>
    </w:p>
    <w:p w:rsidR="00000000" w:rsidDel="00000000" w:rsidP="00000000" w:rsidRDefault="00000000" w:rsidRPr="00000000" w14:paraId="00000017">
      <w:pPr>
        <w:widowControl w:val="0"/>
        <w:spacing w:line="240" w:lineRule="auto"/>
        <w:contextualSpacing w:val="0"/>
        <w:rPr>
          <w:sz w:val="20"/>
          <w:szCs w:val="20"/>
        </w:rPr>
      </w:pPr>
      <w:hyperlink r:id="rId15">
        <w:r w:rsidDel="00000000" w:rsidR="00000000" w:rsidRPr="00000000">
          <w:rPr>
            <w:rFonts w:ascii="Times New Roman" w:cs="Times New Roman" w:eastAsia="Times New Roman" w:hAnsi="Times New Roman"/>
            <w:sz w:val="20"/>
            <w:szCs w:val="20"/>
            <w:highlight w:val="white"/>
            <w:rtl w:val="0"/>
          </w:rPr>
          <w:t xml:space="preserve">Shokeir, A. A., A. P. Provoost, and R. J. Nijman. 1999. “Recoverability of Renal Function after Relief of Chronic Partial Upper Urinary Tract Obstruction.” </w:t>
        </w:r>
      </w:hyperlink>
      <w:hyperlink r:id="rId16">
        <w:r w:rsidDel="00000000" w:rsidR="00000000" w:rsidRPr="00000000">
          <w:rPr>
            <w:rFonts w:ascii="Times New Roman" w:cs="Times New Roman" w:eastAsia="Times New Roman" w:hAnsi="Times New Roman"/>
            <w:i w:val="1"/>
            <w:sz w:val="20"/>
            <w:szCs w:val="20"/>
            <w:highlight w:val="white"/>
            <w:rtl w:val="0"/>
          </w:rPr>
          <w:t xml:space="preserve">BJU International</w:t>
        </w:r>
      </w:hyperlink>
      <w:hyperlink r:id="rId17">
        <w:r w:rsidDel="00000000" w:rsidR="00000000" w:rsidRPr="00000000">
          <w:rPr>
            <w:rFonts w:ascii="Times New Roman" w:cs="Times New Roman" w:eastAsia="Times New Roman" w:hAnsi="Times New Roman"/>
            <w:sz w:val="20"/>
            <w:szCs w:val="20"/>
            <w:highlight w:val="white"/>
            <w:rtl w:val="0"/>
          </w:rPr>
          <w:t xml:space="preserve"> 83 (1):11–17.</w:t>
        </w:r>
      </w:hyperlink>
      <w:r w:rsidDel="00000000" w:rsidR="00000000" w:rsidRPr="00000000">
        <w:rPr>
          <w:rtl w:val="0"/>
        </w:rPr>
      </w:r>
    </w:p>
    <w:p w:rsidR="00000000" w:rsidDel="00000000" w:rsidP="00000000" w:rsidRDefault="00000000" w:rsidRPr="00000000" w14:paraId="00000018">
      <w:pPr>
        <w:widowControl w:val="0"/>
        <w:spacing w:line="240" w:lineRule="auto"/>
        <w:contextualSpacing w:val="0"/>
        <w:rPr>
          <w:rFonts w:ascii="Times New Roman" w:cs="Times New Roman" w:eastAsia="Times New Roman" w:hAnsi="Times New Roman"/>
          <w:sz w:val="20"/>
          <w:szCs w:val="20"/>
        </w:rPr>
        <w:sectPr>
          <w:type w:val="continuous"/>
          <w:pgSz w:h="15840" w:w="12240"/>
          <w:pgMar w:bottom="1440" w:top="1440" w:left="1440" w:right="1440" w:header="0"/>
          <w:cols w:equalWidth="0" w:num="2">
            <w:col w:space="720" w:w="4320"/>
            <w:col w:space="0" w:w="4320"/>
          </w:cols>
        </w:sectPr>
      </w:pPr>
      <w:r w:rsidDel="00000000" w:rsidR="00000000" w:rsidRPr="00000000">
        <w:rPr>
          <w:rFonts w:ascii="Times New Roman" w:cs="Times New Roman" w:eastAsia="Times New Roman" w:hAnsi="Times New Roman"/>
          <w:sz w:val="20"/>
          <w:szCs w:val="20"/>
          <w:rtl w:val="0"/>
        </w:rPr>
        <w:t xml:space="preserve"> In , Wired 2003</w:t>
      </w:r>
    </w:p>
    <w:p w:rsidR="00000000" w:rsidDel="00000000" w:rsidP="00000000" w:rsidRDefault="00000000" w:rsidRPr="00000000" w14:paraId="00000019">
      <w:pP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line="240" w:lineRule="auto"/>
        <w:contextualSpacing w:val="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Biography</w:t>
      </w:r>
    </w:p>
    <w:p w:rsidR="00000000" w:rsidDel="00000000" w:rsidP="00000000" w:rsidRDefault="00000000" w:rsidRPr="00000000" w14:paraId="0000001C">
      <w:pPr>
        <w:spacing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Shrikant L. Kulkarni completed his M.S.(General Surgery)  in 1975 from B.J. Medical College Pune,Maharashtra India. The bachelor’s degree M.B.B.S. completed from Miraj Medical College. Since 1971 he has worked at at several government like the Wanless Hospital Miraj,Sangli General Hospital Sangli, Sassoon Hospital Pune and multispeciality hospitals like Ruby Hall Clinic,Pune and Jehangir Nursing  Home, Pune. For the last 35 plus years he is working at his own clinic  at Chinchwad, Pune Maharashtra India. </w:t>
      </w:r>
    </w:p>
    <w:p w:rsidR="00000000" w:rsidDel="00000000" w:rsidP="00000000" w:rsidRDefault="00000000" w:rsidRPr="00000000" w14:paraId="0000001E">
      <w:pP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widowControl w:val="0"/>
        <w:spacing w:line="240" w:lineRule="auto"/>
        <w:ind w:left="720" w:firstLine="0"/>
        <w:contextualSpacing w:val="0"/>
        <w:rPr>
          <w:rFonts w:ascii="Times New Roman" w:cs="Times New Roman" w:eastAsia="Times New Roman" w:hAnsi="Times New Roman"/>
        </w:rPr>
      </w:pPr>
      <w:r w:rsidDel="00000000" w:rsidR="00000000" w:rsidRPr="00000000">
        <w:rPr>
          <w:rtl w:val="0"/>
        </w:rPr>
      </w:r>
    </w:p>
    <w:sectPr>
      <w:type w:val="continuous"/>
      <w:pgSz w:h="15840" w:w="12240"/>
      <w:pgMar w:bottom="1440" w:top="1440" w:left="1440" w:right="1440" w:head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paperpile.com/b/zveqOk/SKdt" TargetMode="External"/><Relationship Id="rId10" Type="http://schemas.openxmlformats.org/officeDocument/2006/relationships/hyperlink" Target="http://paperpile.com/b/zveqOk/SKdt" TargetMode="External"/><Relationship Id="rId13" Type="http://schemas.openxmlformats.org/officeDocument/2006/relationships/hyperlink" Target="http://paperpile.com/b/zveqOk/e5pJ" TargetMode="External"/><Relationship Id="rId12" Type="http://schemas.openxmlformats.org/officeDocument/2006/relationships/hyperlink" Target="http://paperpile.com/b/zveqOk/e5pJ"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paperpile.com/b/zveqOk/SKdt" TargetMode="External"/><Relationship Id="rId15" Type="http://schemas.openxmlformats.org/officeDocument/2006/relationships/hyperlink" Target="http://paperpile.com/b/zveqOk/UPAj" TargetMode="External"/><Relationship Id="rId14" Type="http://schemas.openxmlformats.org/officeDocument/2006/relationships/hyperlink" Target="http://paperpile.com/b/zveqOk/e5pJ" TargetMode="External"/><Relationship Id="rId17" Type="http://schemas.openxmlformats.org/officeDocument/2006/relationships/hyperlink" Target="http://paperpile.com/b/zveqOk/UPAj" TargetMode="External"/><Relationship Id="rId16" Type="http://schemas.openxmlformats.org/officeDocument/2006/relationships/hyperlink" Target="http://paperpile.com/b/zveqOk/UPAj" TargetMode="External"/><Relationship Id="rId5" Type="http://schemas.openxmlformats.org/officeDocument/2006/relationships/styles" Target="styles.xml"/><Relationship Id="rId6" Type="http://schemas.openxmlformats.org/officeDocument/2006/relationships/hyperlink" Target="http://paperpile.com/b/zveqOk/smzu" TargetMode="External"/><Relationship Id="rId7" Type="http://schemas.openxmlformats.org/officeDocument/2006/relationships/hyperlink" Target="http://paperpile.com/b/zveqOk/smzu" TargetMode="External"/><Relationship Id="rId8" Type="http://schemas.openxmlformats.org/officeDocument/2006/relationships/hyperlink" Target="http://paperpile.com/b/zveqOk/sm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