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632" w:rsidRPr="004F7632" w:rsidRDefault="004F7632" w:rsidP="004F7632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Association Hypertension and primary </w:t>
      </w:r>
      <w:proofErr w:type="spellStart"/>
      <w:r w:rsidRPr="004F7632">
        <w:rPr>
          <w:rFonts w:ascii="Arial" w:hAnsi="Arial" w:cs="Arial"/>
          <w:b/>
          <w:sz w:val="20"/>
          <w:szCs w:val="20"/>
          <w:lang w:val="en-US"/>
        </w:rPr>
        <w:t>hyperaldosteronism</w:t>
      </w:r>
      <w:proofErr w:type="spellEnd"/>
    </w:p>
    <w:p w:rsidR="004F7632" w:rsidRPr="004F7632" w:rsidRDefault="004F7632" w:rsidP="004F7632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El </w:t>
      </w:r>
      <w:proofErr w:type="spellStart"/>
      <w:r w:rsidRPr="004F7632">
        <w:rPr>
          <w:rFonts w:ascii="Arial" w:hAnsi="Arial" w:cs="Arial"/>
          <w:b/>
          <w:sz w:val="20"/>
          <w:szCs w:val="20"/>
          <w:lang w:val="en-US"/>
        </w:rPr>
        <w:t>hmidi.K</w:t>
      </w:r>
      <w:proofErr w:type="spellEnd"/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; </w:t>
      </w:r>
      <w:proofErr w:type="spellStart"/>
      <w:r w:rsidRPr="004F7632">
        <w:rPr>
          <w:rFonts w:ascii="Arial" w:hAnsi="Arial" w:cs="Arial"/>
          <w:b/>
          <w:sz w:val="20"/>
          <w:szCs w:val="20"/>
          <w:lang w:val="en-US"/>
        </w:rPr>
        <w:t>Hammouda</w:t>
      </w:r>
      <w:proofErr w:type="spellEnd"/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 M; </w:t>
      </w:r>
      <w:proofErr w:type="spellStart"/>
      <w:r w:rsidRPr="004F7632">
        <w:rPr>
          <w:rFonts w:ascii="Arial" w:hAnsi="Arial" w:cs="Arial"/>
          <w:b/>
          <w:sz w:val="20"/>
          <w:szCs w:val="20"/>
          <w:lang w:val="en-US"/>
        </w:rPr>
        <w:t>Troudi</w:t>
      </w:r>
      <w:proofErr w:type="spellEnd"/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 MR; </w:t>
      </w:r>
      <w:proofErr w:type="spellStart"/>
      <w:r w:rsidRPr="004F7632">
        <w:rPr>
          <w:rFonts w:ascii="Arial" w:hAnsi="Arial" w:cs="Arial"/>
          <w:b/>
          <w:sz w:val="20"/>
          <w:szCs w:val="20"/>
          <w:lang w:val="en-US"/>
        </w:rPr>
        <w:t>Ayed</w:t>
      </w:r>
      <w:proofErr w:type="spellEnd"/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4F7632">
        <w:rPr>
          <w:rFonts w:ascii="Arial" w:hAnsi="Arial" w:cs="Arial"/>
          <w:b/>
          <w:sz w:val="20"/>
          <w:szCs w:val="20"/>
          <w:lang w:val="en-US"/>
        </w:rPr>
        <w:t>Amel</w:t>
      </w:r>
      <w:proofErr w:type="spellEnd"/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4F7632">
        <w:rPr>
          <w:rFonts w:ascii="Arial" w:hAnsi="Arial" w:cs="Arial"/>
          <w:b/>
          <w:sz w:val="20"/>
          <w:szCs w:val="20"/>
          <w:lang w:val="en-US"/>
        </w:rPr>
        <w:t>Letaief</w:t>
      </w:r>
      <w:proofErr w:type="spellEnd"/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 A. Ben </w:t>
      </w:r>
      <w:proofErr w:type="spellStart"/>
      <w:r w:rsidRPr="004F7632">
        <w:rPr>
          <w:rFonts w:ascii="Arial" w:hAnsi="Arial" w:cs="Arial"/>
          <w:b/>
          <w:sz w:val="20"/>
          <w:szCs w:val="20"/>
          <w:lang w:val="en-US"/>
        </w:rPr>
        <w:t>Dhia</w:t>
      </w:r>
      <w:proofErr w:type="spellEnd"/>
      <w:r w:rsidRPr="004F7632">
        <w:rPr>
          <w:rFonts w:ascii="Arial" w:hAnsi="Arial" w:cs="Arial"/>
          <w:b/>
          <w:sz w:val="20"/>
          <w:szCs w:val="20"/>
          <w:lang w:val="en-US"/>
        </w:rPr>
        <w:t xml:space="preserve"> N</w:t>
      </w:r>
    </w:p>
    <w:p w:rsidR="004F7632" w:rsidRPr="004F7632" w:rsidRDefault="004F7632" w:rsidP="004F7632">
      <w:pPr>
        <w:jc w:val="center"/>
        <w:rPr>
          <w:lang w:val="en-US"/>
        </w:rPr>
      </w:pPr>
      <w:proofErr w:type="spellStart"/>
      <w:r w:rsidRPr="004F7632">
        <w:rPr>
          <w:lang w:val="en-US"/>
        </w:rPr>
        <w:t>Dervice</w:t>
      </w:r>
      <w:proofErr w:type="spellEnd"/>
      <w:r w:rsidRPr="004F7632">
        <w:rPr>
          <w:lang w:val="en-US"/>
        </w:rPr>
        <w:t xml:space="preserve"> of nephrology hospital </w:t>
      </w:r>
      <w:proofErr w:type="spellStart"/>
      <w:r w:rsidRPr="004F7632">
        <w:rPr>
          <w:lang w:val="en-US"/>
        </w:rPr>
        <w:t>Fattouma</w:t>
      </w:r>
      <w:proofErr w:type="spellEnd"/>
      <w:r w:rsidRPr="004F7632">
        <w:rPr>
          <w:lang w:val="en-US"/>
        </w:rPr>
        <w:t xml:space="preserve"> </w:t>
      </w:r>
      <w:proofErr w:type="spellStart"/>
      <w:r w:rsidRPr="004F7632">
        <w:rPr>
          <w:lang w:val="en-US"/>
        </w:rPr>
        <w:t>Bourguia</w:t>
      </w:r>
      <w:proofErr w:type="spellEnd"/>
      <w:r w:rsidRPr="004F7632">
        <w:rPr>
          <w:lang w:val="en-US"/>
        </w:rPr>
        <w:t xml:space="preserve"> of </w:t>
      </w:r>
      <w:proofErr w:type="spellStart"/>
      <w:r w:rsidRPr="004F7632">
        <w:rPr>
          <w:lang w:val="en-US"/>
        </w:rPr>
        <w:t>Monastir</w:t>
      </w:r>
      <w:proofErr w:type="spellEnd"/>
    </w:p>
    <w:p w:rsidR="004F7632" w:rsidRPr="004F7632" w:rsidRDefault="004F7632" w:rsidP="004F7632">
      <w:pPr>
        <w:rPr>
          <w:lang w:val="en-US"/>
        </w:rPr>
      </w:pPr>
      <w:r w:rsidRPr="004F7632">
        <w:rPr>
          <w:lang w:val="en-US"/>
        </w:rPr>
        <w:t xml:space="preserve">Primary bilateral adrenal hyperplasia is mainly represented by </w:t>
      </w:r>
      <w:proofErr w:type="spellStart"/>
      <w:r w:rsidRPr="004F7632">
        <w:rPr>
          <w:lang w:val="en-US"/>
        </w:rPr>
        <w:t>micronodular</w:t>
      </w:r>
      <w:proofErr w:type="spellEnd"/>
      <w:r w:rsidRPr="004F7632">
        <w:rPr>
          <w:lang w:val="en-US"/>
        </w:rPr>
        <w:t xml:space="preserve"> </w:t>
      </w:r>
      <w:proofErr w:type="spellStart"/>
      <w:r w:rsidRPr="004F7632">
        <w:rPr>
          <w:lang w:val="en-US"/>
        </w:rPr>
        <w:t>corticosurrenal</w:t>
      </w:r>
      <w:proofErr w:type="spellEnd"/>
      <w:r w:rsidRPr="004F7632">
        <w:rPr>
          <w:lang w:val="en-US"/>
        </w:rPr>
        <w:t xml:space="preserve"> </w:t>
      </w:r>
      <w:proofErr w:type="spellStart"/>
      <w:r w:rsidRPr="004F7632">
        <w:rPr>
          <w:lang w:val="en-US"/>
        </w:rPr>
        <w:t>adenomatosis</w:t>
      </w:r>
      <w:proofErr w:type="spellEnd"/>
      <w:r w:rsidRPr="004F7632">
        <w:rPr>
          <w:lang w:val="en-US"/>
        </w:rPr>
        <w:t xml:space="preserve"> and </w:t>
      </w:r>
      <w:proofErr w:type="spellStart"/>
      <w:r w:rsidRPr="004F7632">
        <w:rPr>
          <w:lang w:val="en-US"/>
        </w:rPr>
        <w:t>macronodular</w:t>
      </w:r>
      <w:proofErr w:type="spellEnd"/>
      <w:r w:rsidRPr="004F7632">
        <w:rPr>
          <w:lang w:val="en-US"/>
        </w:rPr>
        <w:t xml:space="preserve"> hyperplasia of the adrenal glands.</w:t>
      </w:r>
    </w:p>
    <w:p w:rsidR="004F7632" w:rsidRPr="004F7632" w:rsidRDefault="004F7632" w:rsidP="004F7632">
      <w:pPr>
        <w:rPr>
          <w:lang w:val="en-US"/>
        </w:rPr>
      </w:pPr>
      <w:r w:rsidRPr="004F7632">
        <w:rPr>
          <w:lang w:val="en-US"/>
        </w:rPr>
        <w:t>We report 7 cases of bilateral adrenal hyperplasia hospitalized between 2004 and 2014 in order to describe their clinical, biological, radiological and etiological characteristics.</w:t>
      </w:r>
    </w:p>
    <w:p w:rsidR="004F7632" w:rsidRPr="004F7632" w:rsidRDefault="004F7632" w:rsidP="004F7632">
      <w:pPr>
        <w:rPr>
          <w:lang w:val="en-US"/>
        </w:rPr>
      </w:pPr>
      <w:r w:rsidRPr="004F7632">
        <w:rPr>
          <w:lang w:val="en-US"/>
        </w:rPr>
        <w:t xml:space="preserve">The mean age was 50 years (41-84 years). The sex ratio (M / F) was 1.16. The mode of discovery was an adrenal </w:t>
      </w:r>
      <w:proofErr w:type="spellStart"/>
      <w:r w:rsidRPr="004F7632">
        <w:rPr>
          <w:lang w:val="en-US"/>
        </w:rPr>
        <w:t>incidentaloma</w:t>
      </w:r>
      <w:proofErr w:type="spellEnd"/>
      <w:r w:rsidRPr="004F7632">
        <w:rPr>
          <w:lang w:val="en-US"/>
        </w:rPr>
        <w:t xml:space="preserve"> in 2 cases. Two patients had a history of </w:t>
      </w:r>
      <w:proofErr w:type="spellStart"/>
      <w:r w:rsidRPr="004F7632">
        <w:rPr>
          <w:lang w:val="en-US"/>
        </w:rPr>
        <w:t>neoplasia</w:t>
      </w:r>
      <w:proofErr w:type="spellEnd"/>
      <w:r w:rsidRPr="004F7632">
        <w:rPr>
          <w:lang w:val="en-US"/>
        </w:rPr>
        <w:t xml:space="preserve">. Whereas a review of a severe hypertension was the mode of development in the remaining three patients. The adrenal computed tomography performed in all cases was in favor of </w:t>
      </w:r>
      <w:proofErr w:type="spellStart"/>
      <w:r w:rsidRPr="004F7632">
        <w:rPr>
          <w:lang w:val="en-US"/>
        </w:rPr>
        <w:t>macronodular</w:t>
      </w:r>
      <w:proofErr w:type="spellEnd"/>
      <w:r w:rsidRPr="004F7632">
        <w:rPr>
          <w:lang w:val="en-US"/>
        </w:rPr>
        <w:t xml:space="preserve"> adrenal hyperplasia in 4 cases (57%) and </w:t>
      </w:r>
      <w:proofErr w:type="spellStart"/>
      <w:r w:rsidRPr="004F7632">
        <w:rPr>
          <w:lang w:val="en-US"/>
        </w:rPr>
        <w:t>micronodular</w:t>
      </w:r>
      <w:proofErr w:type="spellEnd"/>
      <w:r w:rsidRPr="004F7632">
        <w:rPr>
          <w:lang w:val="en-US"/>
        </w:rPr>
        <w:t xml:space="preserve"> hyperplasia in the remaining 3 cases (43%). Hypertension was present in 3 patients with </w:t>
      </w:r>
      <w:proofErr w:type="spellStart"/>
      <w:r w:rsidRPr="004F7632">
        <w:rPr>
          <w:lang w:val="en-US"/>
        </w:rPr>
        <w:t>hypokalemia</w:t>
      </w:r>
      <w:proofErr w:type="spellEnd"/>
      <w:r w:rsidRPr="004F7632">
        <w:rPr>
          <w:lang w:val="en-US"/>
        </w:rPr>
        <w:t xml:space="preserve"> in only one case. There were no clinical signs of </w:t>
      </w:r>
      <w:proofErr w:type="spellStart"/>
      <w:r w:rsidRPr="004F7632">
        <w:rPr>
          <w:lang w:val="en-US"/>
        </w:rPr>
        <w:t>protic</w:t>
      </w:r>
      <w:proofErr w:type="spellEnd"/>
      <w:r w:rsidRPr="004F7632">
        <w:rPr>
          <w:lang w:val="en-US"/>
        </w:rPr>
        <w:t xml:space="preserve"> </w:t>
      </w:r>
      <w:proofErr w:type="spellStart"/>
      <w:r w:rsidRPr="004F7632">
        <w:rPr>
          <w:lang w:val="en-US"/>
        </w:rPr>
        <w:t>hypercatabolism</w:t>
      </w:r>
      <w:proofErr w:type="spellEnd"/>
      <w:r w:rsidRPr="004F7632">
        <w:rPr>
          <w:lang w:val="en-US"/>
        </w:rPr>
        <w:t xml:space="preserve"> or paroxysmal hypertension.</w:t>
      </w:r>
    </w:p>
    <w:p w:rsidR="004F7632" w:rsidRDefault="004F7632" w:rsidP="004F7632">
      <w:r w:rsidRPr="004F7632">
        <w:rPr>
          <w:lang w:val="en-US"/>
        </w:rPr>
        <w:t xml:space="preserve">Hormonal explorations showed primary </w:t>
      </w:r>
      <w:proofErr w:type="spellStart"/>
      <w:r w:rsidRPr="004F7632">
        <w:rPr>
          <w:lang w:val="en-US"/>
        </w:rPr>
        <w:t>hyperaldosteronism</w:t>
      </w:r>
      <w:proofErr w:type="spellEnd"/>
      <w:r w:rsidRPr="004F7632">
        <w:rPr>
          <w:lang w:val="en-US"/>
        </w:rPr>
        <w:t xml:space="preserve"> in 2 cases and mixed secretion in only one case. The diagnosis was primary </w:t>
      </w:r>
      <w:proofErr w:type="spellStart"/>
      <w:r w:rsidRPr="004F7632">
        <w:rPr>
          <w:lang w:val="en-US"/>
        </w:rPr>
        <w:t>hyperaldosteronism</w:t>
      </w:r>
      <w:proofErr w:type="spellEnd"/>
      <w:r w:rsidRPr="004F7632">
        <w:rPr>
          <w:lang w:val="en-US"/>
        </w:rPr>
        <w:t xml:space="preserve"> in 2 cases and a case with mixed secretion. </w:t>
      </w:r>
      <w:r>
        <w:t xml:space="preserve">4 patients </w:t>
      </w:r>
      <w:proofErr w:type="spellStart"/>
      <w:r>
        <w:t>did</w:t>
      </w:r>
      <w:proofErr w:type="spellEnd"/>
      <w:r>
        <w:t xml:space="preserve"> not show hormonal </w:t>
      </w:r>
      <w:proofErr w:type="spellStart"/>
      <w:r>
        <w:t>secretion</w:t>
      </w:r>
      <w:proofErr w:type="spellEnd"/>
      <w:r>
        <w:t xml:space="preserve"> in </w:t>
      </w:r>
      <w:proofErr w:type="spellStart"/>
      <w:r>
        <w:t>biology</w:t>
      </w:r>
      <w:proofErr w:type="spellEnd"/>
      <w:r>
        <w:t>.</w:t>
      </w:r>
    </w:p>
    <w:p w:rsidR="00160E19" w:rsidRPr="004F7632" w:rsidRDefault="004F7632" w:rsidP="004F7632">
      <w:pPr>
        <w:rPr>
          <w:lang w:val="en-US"/>
        </w:rPr>
      </w:pPr>
      <w:r w:rsidRPr="004F7632">
        <w:rPr>
          <w:lang w:val="en-US"/>
        </w:rPr>
        <w:t>The diagnosis of bilateral adrenal hyperplasia is radiological. It leads the clinician to seek hormonal secretion in order to establish the etiology for adequate therapeutic management.</w:t>
      </w:r>
    </w:p>
    <w:sectPr w:rsidR="00160E19" w:rsidRPr="004F7632" w:rsidSect="00160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characterSpacingControl w:val="doNotCompress"/>
  <w:compat/>
  <w:rsids>
    <w:rsidRoot w:val="004F7632"/>
    <w:rsid w:val="00160E19"/>
    <w:rsid w:val="004F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E1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2016-11-22T03:47:00Z</dcterms:created>
  <dcterms:modified xsi:type="dcterms:W3CDTF">2016-11-22T03:48:00Z</dcterms:modified>
</cp:coreProperties>
</file>