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7B4" w:rsidRDefault="005277B4" w:rsidP="005277B4">
      <w:pPr>
        <w:jc w:val="center"/>
        <w:rPr>
          <w:b/>
          <w:bCs/>
        </w:rPr>
      </w:pPr>
      <w:proofErr w:type="gramStart"/>
      <w:r>
        <w:rPr>
          <w:b/>
          <w:bCs/>
        </w:rPr>
        <w:t>Prevalence and Clinical Characteristics of Saudi Dialysis Patients with or without Positive Family Histories of Kidney Disease.</w:t>
      </w:r>
      <w:proofErr w:type="gramEnd"/>
    </w:p>
    <w:p w:rsidR="005277B4" w:rsidRDefault="005277B4" w:rsidP="005277B4">
      <w:pPr>
        <w:jc w:val="center"/>
        <w:rPr>
          <w:b/>
          <w:bCs/>
        </w:rPr>
      </w:pPr>
      <w:r>
        <w:rPr>
          <w:b/>
          <w:bCs/>
        </w:rPr>
        <w:t xml:space="preserve"> Abdulla </w:t>
      </w:r>
      <w:bookmarkStart w:id="0" w:name="_GoBack"/>
      <w:bookmarkEnd w:id="0"/>
      <w:r>
        <w:rPr>
          <w:b/>
          <w:bCs/>
        </w:rPr>
        <w:t xml:space="preserve">A Al Sayyari, </w:t>
      </w:r>
      <w:r>
        <w:rPr>
          <w:b/>
          <w:bCs/>
        </w:rPr>
        <w:t xml:space="preserve"> </w:t>
      </w:r>
    </w:p>
    <w:p w:rsidR="005277B4" w:rsidRDefault="005277B4" w:rsidP="005277B4">
      <w:pPr>
        <w:rPr>
          <w:b/>
          <w:bCs/>
        </w:rPr>
      </w:pPr>
    </w:p>
    <w:p w:rsidR="005277B4" w:rsidRDefault="005277B4" w:rsidP="005277B4">
      <w:pPr>
        <w:rPr>
          <w:b/>
          <w:bCs/>
        </w:rPr>
      </w:pPr>
      <w:r>
        <w:rPr>
          <w:b/>
          <w:bCs/>
        </w:rPr>
        <w:t>Objective</w:t>
      </w:r>
    </w:p>
    <w:p w:rsidR="005277B4" w:rsidRDefault="005277B4" w:rsidP="005277B4">
      <w:r>
        <w:t>This study aimed at evaluating the prevalence and clinical characteristics of Saudi dialysis patients with a positive family history of kidney disease and to compare these to those without a family history of kidney disease.</w:t>
      </w:r>
    </w:p>
    <w:p w:rsidR="005277B4" w:rsidRDefault="005277B4" w:rsidP="005277B4">
      <w:r>
        <w:t>Secondary objectives were to assess the certainty of the diagnoses of causes CKD among the patients by their physicians</w:t>
      </w:r>
    </w:p>
    <w:p w:rsidR="005277B4" w:rsidRDefault="005277B4" w:rsidP="005277B4">
      <w:pPr>
        <w:rPr>
          <w:b/>
          <w:bCs/>
        </w:rPr>
      </w:pPr>
      <w:r>
        <w:rPr>
          <w:b/>
          <w:bCs/>
        </w:rPr>
        <w:t>Methods &amp; Material</w:t>
      </w:r>
    </w:p>
    <w:p w:rsidR="005277B4" w:rsidRDefault="005277B4" w:rsidP="005277B4">
      <w:r>
        <w:t xml:space="preserve">This is a cross-sectional survey based study on adult Saudi patients on hemodialysis in six dialysis centers in four Saudi cities. </w:t>
      </w:r>
    </w:p>
    <w:p w:rsidR="005277B4" w:rsidRDefault="005277B4" w:rsidP="005277B4">
      <w:r>
        <w:t xml:space="preserve">The survey had two parts. The first part (filled by the physicians of the patient) asked about the patient’s sex, age, dialysis vintage, CKD vintage, cause of the renal failure and whether the diagnosis is definitive or speculative. The second part (filled by the patients) asked about the presence of kidney disease among first degree relatives </w:t>
      </w:r>
      <w:proofErr w:type="gramStart"/>
      <w:r>
        <w:t>( history</w:t>
      </w:r>
      <w:proofErr w:type="gramEnd"/>
      <w:r>
        <w:t xml:space="preserve"> of CKD, urinary abnormality and/or is or having been on dialysis.</w:t>
      </w:r>
    </w:p>
    <w:p w:rsidR="005277B4" w:rsidRDefault="005277B4" w:rsidP="005277B4">
      <w:pPr>
        <w:rPr>
          <w:b/>
          <w:bCs/>
        </w:rPr>
      </w:pPr>
      <w:r>
        <w:rPr>
          <w:b/>
          <w:bCs/>
        </w:rPr>
        <w:t>Results</w:t>
      </w:r>
    </w:p>
    <w:p w:rsidR="005277B4" w:rsidRDefault="005277B4" w:rsidP="005277B4">
      <w:r>
        <w:t>1080 patients were included</w:t>
      </w:r>
      <w:proofErr w:type="gramStart"/>
      <w:r>
        <w:t>,  55.4</w:t>
      </w:r>
      <w:proofErr w:type="gramEnd"/>
      <w:r>
        <w:t xml:space="preserve">% males. The Mean </w:t>
      </w:r>
      <w:proofErr w:type="gramStart"/>
      <w:r>
        <w:t>age  was</w:t>
      </w:r>
      <w:proofErr w:type="gramEnd"/>
      <w:r>
        <w:t xml:space="preserve"> 56.1±20 years and the mean dialysis vintage was 5.7±5.9 years and the mean time between diagnosis of CKD and onset of dialysis was 3.0±5.6 years  </w:t>
      </w:r>
    </w:p>
    <w:p w:rsidR="005277B4" w:rsidRDefault="005277B4" w:rsidP="005277B4">
      <w:r>
        <w:t>Table 1 shows the causes of the CKD as determined by the patients’ physician and whether this diagnosis is “definitive” or “speculative”. Of all the diagnoses given, 57.8% were either “unknown” (33%) or only “speculative (25.3%).  In those with a diagnostic label, the diagnosis was thought to be definitive in only 62.2% of the cases’”</w:t>
      </w:r>
      <w:proofErr w:type="gramStart"/>
      <w:r>
        <w:t>..</w:t>
      </w:r>
      <w:proofErr w:type="gramEnd"/>
      <w:r>
        <w:t xml:space="preserve"> (</w:t>
      </w:r>
      <w:proofErr w:type="gramStart"/>
      <w:r>
        <w:t>table</w:t>
      </w:r>
      <w:proofErr w:type="gramEnd"/>
      <w:r>
        <w:t xml:space="preserve"> 1).</w:t>
      </w:r>
    </w:p>
    <w:p w:rsidR="005277B4" w:rsidRDefault="005277B4" w:rsidP="005277B4">
      <w:r>
        <w:t xml:space="preserve"> 21.5% had first-degree relatives with kidney disease with no significant difference cities. There were more patients with “unknown” or “hypertensive” diagnosis among patients with FH of kidney than in those without (p=007 and 0.005 respectively). No differences were observed when the </w:t>
      </w:r>
      <w:proofErr w:type="gramStart"/>
      <w:r>
        <w:t>cause  was</w:t>
      </w:r>
      <w:proofErr w:type="gramEnd"/>
      <w:r>
        <w:t xml:space="preserve"> DN or GN . </w:t>
      </w:r>
    </w:p>
    <w:p w:rsidR="005277B4" w:rsidRDefault="005277B4" w:rsidP="005277B4">
      <w:r>
        <w:t xml:space="preserve">No </w:t>
      </w:r>
      <w:proofErr w:type="gramStart"/>
      <w:r>
        <w:t>significant  difference</w:t>
      </w:r>
      <w:proofErr w:type="gramEnd"/>
      <w:r>
        <w:t xml:space="preserve"> in the prevalence FH  was seen by age (p=0.5). </w:t>
      </w:r>
      <w:proofErr w:type="gramStart"/>
      <w:r>
        <w:t>Dialysis  vintage</w:t>
      </w:r>
      <w:proofErr w:type="gramEnd"/>
      <w:r>
        <w:t xml:space="preserve"> was significantly shorter (p=0.03)  and CKD vintage was significantly  longer  (p=0.0001) in the patients with FH  (table 2) </w:t>
      </w:r>
    </w:p>
    <w:tbl>
      <w:tblPr>
        <w:tblW w:w="10468" w:type="dxa"/>
        <w:tblCellMar>
          <w:left w:w="0" w:type="dxa"/>
          <w:right w:w="0" w:type="dxa"/>
        </w:tblCellMar>
        <w:tblLook w:val="04A0" w:firstRow="1" w:lastRow="0" w:firstColumn="1" w:lastColumn="0" w:noHBand="0" w:noVBand="1"/>
      </w:tblPr>
      <w:tblGrid>
        <w:gridCol w:w="4938"/>
        <w:gridCol w:w="1891"/>
        <w:gridCol w:w="1710"/>
        <w:gridCol w:w="1929"/>
      </w:tblGrid>
      <w:tr w:rsidR="005277B4" w:rsidTr="005277B4">
        <w:trPr>
          <w:trHeight w:val="375"/>
        </w:trPr>
        <w:tc>
          <w:tcPr>
            <w:tcW w:w="4938" w:type="dxa"/>
            <w:tcBorders>
              <w:top w:val="single" w:sz="24"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FFFFFF" w:themeColor="light1"/>
                <w:kern w:val="24"/>
                <w:sz w:val="24"/>
                <w:szCs w:val="24"/>
              </w:rPr>
              <w:lastRenderedPageBreak/>
              <w:t>Unknown</w:t>
            </w:r>
          </w:p>
        </w:tc>
        <w:tc>
          <w:tcPr>
            <w:tcW w:w="1891"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33</w:t>
            </w:r>
          </w:p>
        </w:tc>
        <w:tc>
          <w:tcPr>
            <w:tcW w:w="3639" w:type="dxa"/>
            <w:gridSpan w:val="2"/>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 </w:t>
            </w:r>
          </w:p>
        </w:tc>
      </w:tr>
      <w:tr w:rsidR="005277B4" w:rsidTr="005277B4">
        <w:trPr>
          <w:trHeight w:val="325"/>
        </w:trPr>
        <w:tc>
          <w:tcPr>
            <w:tcW w:w="4938"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FFFFFF" w:themeColor="light1"/>
                <w:kern w:val="24"/>
                <w:sz w:val="24"/>
                <w:szCs w:val="24"/>
              </w:rPr>
              <w:t xml:space="preserve">Diabetic nephropathy </w:t>
            </w:r>
          </w:p>
        </w:tc>
        <w:tc>
          <w:tcPr>
            <w:tcW w:w="189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32.2</w:t>
            </w:r>
          </w:p>
        </w:tc>
        <w:tc>
          <w:tcPr>
            <w:tcW w:w="171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52.3%</w:t>
            </w:r>
          </w:p>
        </w:tc>
        <w:tc>
          <w:tcPr>
            <w:tcW w:w="192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47.7%</w:t>
            </w:r>
          </w:p>
        </w:tc>
      </w:tr>
      <w:tr w:rsidR="005277B4" w:rsidTr="005277B4">
        <w:trPr>
          <w:trHeight w:hRule="exact" w:val="288"/>
        </w:trPr>
        <w:tc>
          <w:tcPr>
            <w:tcW w:w="4938"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160"/>
              <w:rPr>
                <w:rFonts w:eastAsia="Times New Roman" w:cs="Arial"/>
                <w:color w:val="FFFFFF" w:themeColor="background1"/>
                <w:sz w:val="24"/>
                <w:szCs w:val="24"/>
              </w:rPr>
            </w:pPr>
            <w:r>
              <w:rPr>
                <w:rFonts w:eastAsia="Times New Roman" w:cs="Arial"/>
                <w:b/>
                <w:bCs/>
                <w:color w:val="FFFFFF" w:themeColor="background1"/>
                <w:spacing w:val="15"/>
                <w:kern w:val="24"/>
                <w:sz w:val="24"/>
                <w:szCs w:val="24"/>
              </w:rPr>
              <w:t>Hypertension</w:t>
            </w:r>
          </w:p>
        </w:tc>
        <w:tc>
          <w:tcPr>
            <w:tcW w:w="1891"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160"/>
              <w:rPr>
                <w:rFonts w:eastAsia="Times New Roman" w:cs="Arial"/>
                <w:sz w:val="24"/>
                <w:szCs w:val="24"/>
              </w:rPr>
            </w:pPr>
            <w:r>
              <w:rPr>
                <w:rFonts w:eastAsia="Times New Roman" w:cs="Arial"/>
                <w:b/>
                <w:bCs/>
                <w:color w:val="000000" w:themeColor="dark1"/>
                <w:spacing w:val="15"/>
                <w:kern w:val="24"/>
                <w:sz w:val="24"/>
                <w:szCs w:val="24"/>
              </w:rPr>
              <w:t>20.1</w:t>
            </w:r>
          </w:p>
        </w:tc>
        <w:tc>
          <w:tcPr>
            <w:tcW w:w="171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160"/>
              <w:rPr>
                <w:rFonts w:eastAsia="Times New Roman" w:cs="Arial"/>
                <w:sz w:val="24"/>
                <w:szCs w:val="24"/>
              </w:rPr>
            </w:pPr>
            <w:r>
              <w:rPr>
                <w:rFonts w:eastAsia="Times New Roman" w:cs="Arial"/>
                <w:b/>
                <w:bCs/>
                <w:color w:val="000000" w:themeColor="dark1"/>
                <w:spacing w:val="15"/>
                <w:kern w:val="24"/>
                <w:sz w:val="24"/>
                <w:szCs w:val="24"/>
              </w:rPr>
              <w:t xml:space="preserve"> 58.5%</w:t>
            </w:r>
          </w:p>
        </w:tc>
        <w:tc>
          <w:tcPr>
            <w:tcW w:w="1929"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160"/>
              <w:rPr>
                <w:rFonts w:eastAsia="Times New Roman" w:cs="Arial"/>
                <w:sz w:val="24"/>
                <w:szCs w:val="24"/>
              </w:rPr>
            </w:pPr>
            <w:r>
              <w:rPr>
                <w:rFonts w:eastAsia="Times New Roman" w:cs="Arial"/>
                <w:b/>
                <w:bCs/>
                <w:color w:val="000000" w:themeColor="dark1"/>
                <w:spacing w:val="15"/>
                <w:kern w:val="24"/>
                <w:sz w:val="24"/>
                <w:szCs w:val="24"/>
              </w:rPr>
              <w:t>41.5%</w:t>
            </w:r>
          </w:p>
        </w:tc>
      </w:tr>
      <w:tr w:rsidR="005277B4" w:rsidTr="005277B4">
        <w:trPr>
          <w:trHeight w:hRule="exact" w:val="288"/>
        </w:trPr>
        <w:tc>
          <w:tcPr>
            <w:tcW w:w="4938"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eastAsia="Times New Roman" w:cs="Arial"/>
                <w:color w:val="FFFFFF" w:themeColor="background1"/>
                <w:sz w:val="24"/>
                <w:szCs w:val="24"/>
              </w:rPr>
            </w:pPr>
            <w:r>
              <w:rPr>
                <w:rFonts w:eastAsia="Times New Roman" w:cs="Arial"/>
                <w:b/>
                <w:bCs/>
                <w:color w:val="FFFFFF" w:themeColor="background1"/>
                <w:kern w:val="24"/>
                <w:sz w:val="24"/>
                <w:szCs w:val="24"/>
              </w:rPr>
              <w:t xml:space="preserve">Glomerulonephritis </w:t>
            </w:r>
          </w:p>
        </w:tc>
        <w:tc>
          <w:tcPr>
            <w:tcW w:w="189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5.1</w:t>
            </w:r>
          </w:p>
        </w:tc>
        <w:tc>
          <w:tcPr>
            <w:tcW w:w="171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 xml:space="preserve"> 83.3%</w:t>
            </w:r>
          </w:p>
        </w:tc>
        <w:tc>
          <w:tcPr>
            <w:tcW w:w="192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16.7%</w:t>
            </w:r>
          </w:p>
        </w:tc>
      </w:tr>
      <w:tr w:rsidR="005277B4" w:rsidTr="005277B4">
        <w:trPr>
          <w:trHeight w:hRule="exact" w:val="288"/>
        </w:trPr>
        <w:tc>
          <w:tcPr>
            <w:tcW w:w="4938"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FFFFFF" w:themeColor="light1"/>
                <w:kern w:val="24"/>
                <w:sz w:val="24"/>
                <w:szCs w:val="24"/>
              </w:rPr>
              <w:t>Lupus Nephritis</w:t>
            </w:r>
          </w:p>
        </w:tc>
        <w:tc>
          <w:tcPr>
            <w:tcW w:w="1891"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2</w:t>
            </w:r>
          </w:p>
        </w:tc>
        <w:tc>
          <w:tcPr>
            <w:tcW w:w="171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90.5%</w:t>
            </w:r>
          </w:p>
        </w:tc>
        <w:tc>
          <w:tcPr>
            <w:tcW w:w="1929"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9.5%</w:t>
            </w:r>
          </w:p>
        </w:tc>
      </w:tr>
      <w:tr w:rsidR="005277B4" w:rsidTr="005277B4">
        <w:trPr>
          <w:trHeight w:hRule="exact" w:val="274"/>
        </w:trPr>
        <w:tc>
          <w:tcPr>
            <w:tcW w:w="4938"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FFFFFF" w:themeColor="light1"/>
                <w:kern w:val="24"/>
                <w:sz w:val="24"/>
                <w:szCs w:val="24"/>
              </w:rPr>
              <w:t>APKD</w:t>
            </w:r>
          </w:p>
        </w:tc>
        <w:tc>
          <w:tcPr>
            <w:tcW w:w="189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1.8</w:t>
            </w:r>
          </w:p>
        </w:tc>
        <w:tc>
          <w:tcPr>
            <w:tcW w:w="171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94.7%</w:t>
            </w:r>
          </w:p>
        </w:tc>
        <w:tc>
          <w:tcPr>
            <w:tcW w:w="192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5.3%</w:t>
            </w:r>
          </w:p>
        </w:tc>
      </w:tr>
      <w:tr w:rsidR="005277B4" w:rsidTr="005277B4">
        <w:trPr>
          <w:trHeight w:hRule="exact" w:val="288"/>
        </w:trPr>
        <w:tc>
          <w:tcPr>
            <w:tcW w:w="4938"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FFFFFF" w:themeColor="light1"/>
                <w:kern w:val="24"/>
                <w:sz w:val="24"/>
                <w:szCs w:val="24"/>
              </w:rPr>
              <w:t>Congenitally small kidneys</w:t>
            </w:r>
          </w:p>
        </w:tc>
        <w:tc>
          <w:tcPr>
            <w:tcW w:w="1891"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1.4</w:t>
            </w:r>
          </w:p>
        </w:tc>
        <w:tc>
          <w:tcPr>
            <w:tcW w:w="171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90%</w:t>
            </w:r>
          </w:p>
        </w:tc>
        <w:tc>
          <w:tcPr>
            <w:tcW w:w="1929"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10%</w:t>
            </w:r>
          </w:p>
        </w:tc>
      </w:tr>
      <w:tr w:rsidR="005277B4" w:rsidTr="005277B4">
        <w:trPr>
          <w:trHeight w:hRule="exact" w:val="288"/>
        </w:trPr>
        <w:tc>
          <w:tcPr>
            <w:tcW w:w="4938"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FFFFFF" w:themeColor="light1"/>
                <w:kern w:val="24"/>
                <w:sz w:val="24"/>
                <w:szCs w:val="24"/>
              </w:rPr>
              <w:t>Calculi</w:t>
            </w:r>
          </w:p>
        </w:tc>
        <w:tc>
          <w:tcPr>
            <w:tcW w:w="189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0.8</w:t>
            </w:r>
          </w:p>
        </w:tc>
        <w:tc>
          <w:tcPr>
            <w:tcW w:w="171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100%</w:t>
            </w:r>
          </w:p>
        </w:tc>
        <w:tc>
          <w:tcPr>
            <w:tcW w:w="192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0%</w:t>
            </w:r>
          </w:p>
        </w:tc>
      </w:tr>
      <w:tr w:rsidR="005277B4" w:rsidTr="005277B4">
        <w:trPr>
          <w:trHeight w:hRule="exact" w:val="288"/>
        </w:trPr>
        <w:tc>
          <w:tcPr>
            <w:tcW w:w="4938"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FFFFFF" w:themeColor="light1"/>
                <w:kern w:val="24"/>
                <w:sz w:val="24"/>
                <w:szCs w:val="24"/>
              </w:rPr>
              <w:t xml:space="preserve">Chronic interstitial nephritis </w:t>
            </w:r>
          </w:p>
        </w:tc>
        <w:tc>
          <w:tcPr>
            <w:tcW w:w="1891"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3.1</w:t>
            </w:r>
          </w:p>
        </w:tc>
        <w:tc>
          <w:tcPr>
            <w:tcW w:w="171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 xml:space="preserve"> 69%</w:t>
            </w:r>
          </w:p>
        </w:tc>
        <w:tc>
          <w:tcPr>
            <w:tcW w:w="1929"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31%</w:t>
            </w:r>
          </w:p>
        </w:tc>
      </w:tr>
      <w:tr w:rsidR="005277B4" w:rsidTr="005277B4">
        <w:trPr>
          <w:trHeight w:hRule="exact" w:val="288"/>
        </w:trPr>
        <w:tc>
          <w:tcPr>
            <w:tcW w:w="4938"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FFFFFF" w:themeColor="light1"/>
                <w:kern w:val="24"/>
                <w:sz w:val="24"/>
                <w:szCs w:val="24"/>
              </w:rPr>
              <w:t>Joubert’ s</w:t>
            </w:r>
          </w:p>
        </w:tc>
        <w:tc>
          <w:tcPr>
            <w:tcW w:w="189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0.3</w:t>
            </w:r>
          </w:p>
        </w:tc>
        <w:tc>
          <w:tcPr>
            <w:tcW w:w="171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50%</w:t>
            </w:r>
          </w:p>
        </w:tc>
        <w:tc>
          <w:tcPr>
            <w:tcW w:w="192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50%</w:t>
            </w:r>
          </w:p>
        </w:tc>
      </w:tr>
      <w:tr w:rsidR="005277B4" w:rsidTr="005277B4">
        <w:trPr>
          <w:trHeight w:hRule="exact" w:val="288"/>
        </w:trPr>
        <w:tc>
          <w:tcPr>
            <w:tcW w:w="4938"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FFFFFF" w:themeColor="light1"/>
                <w:kern w:val="24"/>
                <w:sz w:val="24"/>
                <w:szCs w:val="24"/>
              </w:rPr>
              <w:t>Alport's Syndrome</w:t>
            </w:r>
          </w:p>
        </w:tc>
        <w:tc>
          <w:tcPr>
            <w:tcW w:w="1891"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0.2</w:t>
            </w:r>
          </w:p>
        </w:tc>
        <w:tc>
          <w:tcPr>
            <w:tcW w:w="171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100%</w:t>
            </w:r>
          </w:p>
        </w:tc>
        <w:tc>
          <w:tcPr>
            <w:tcW w:w="1929"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0%</w:t>
            </w:r>
          </w:p>
        </w:tc>
      </w:tr>
      <w:tr w:rsidR="005277B4" w:rsidTr="005277B4">
        <w:trPr>
          <w:trHeight w:hRule="exact" w:val="302"/>
        </w:trPr>
        <w:tc>
          <w:tcPr>
            <w:tcW w:w="4938"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FFFFFF" w:themeColor="light1"/>
                <w:kern w:val="24"/>
                <w:sz w:val="24"/>
                <w:szCs w:val="24"/>
              </w:rPr>
              <w:t xml:space="preserve"> All</w:t>
            </w:r>
          </w:p>
        </w:tc>
        <w:tc>
          <w:tcPr>
            <w:tcW w:w="189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100%</w:t>
            </w:r>
          </w:p>
        </w:tc>
        <w:tc>
          <w:tcPr>
            <w:tcW w:w="171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62.2%</w:t>
            </w:r>
          </w:p>
        </w:tc>
        <w:tc>
          <w:tcPr>
            <w:tcW w:w="1929"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eastAsia="Times New Roman" w:cs="Arial"/>
                <w:sz w:val="24"/>
                <w:szCs w:val="24"/>
              </w:rPr>
            </w:pPr>
            <w:r>
              <w:rPr>
                <w:rFonts w:eastAsia="Times New Roman" w:cs="Arial"/>
                <w:b/>
                <w:bCs/>
                <w:color w:val="000000" w:themeColor="dark1"/>
                <w:kern w:val="24"/>
                <w:sz w:val="24"/>
                <w:szCs w:val="24"/>
              </w:rPr>
              <w:t>37.8%</w:t>
            </w:r>
          </w:p>
        </w:tc>
      </w:tr>
    </w:tbl>
    <w:p w:rsidR="005277B4" w:rsidRDefault="005277B4" w:rsidP="005277B4">
      <w:pPr>
        <w:rPr>
          <w:b/>
          <w:bCs/>
        </w:rPr>
      </w:pPr>
      <w:r>
        <w:rPr>
          <w:b/>
          <w:bCs/>
        </w:rPr>
        <w:t xml:space="preserve">Table 1 </w:t>
      </w:r>
      <w:proofErr w:type="gramStart"/>
      <w:r>
        <w:rPr>
          <w:b/>
          <w:bCs/>
        </w:rPr>
        <w:t>The</w:t>
      </w:r>
      <w:proofErr w:type="gramEnd"/>
      <w:r>
        <w:rPr>
          <w:b/>
          <w:bCs/>
        </w:rPr>
        <w:t xml:space="preserve"> causes of the CKD as determined by the patients’ physician and whether this diagnosis is “definitive” or “speculative”.</w:t>
      </w:r>
    </w:p>
    <w:tbl>
      <w:tblPr>
        <w:tblW w:w="10612" w:type="dxa"/>
        <w:tblCellMar>
          <w:left w:w="0" w:type="dxa"/>
          <w:right w:w="0" w:type="dxa"/>
        </w:tblCellMar>
        <w:tblLook w:val="04A0" w:firstRow="1" w:lastRow="0" w:firstColumn="1" w:lastColumn="0" w:noHBand="0" w:noVBand="1"/>
      </w:tblPr>
      <w:tblGrid>
        <w:gridCol w:w="4942"/>
        <w:gridCol w:w="1896"/>
        <w:gridCol w:w="1974"/>
        <w:gridCol w:w="1800"/>
      </w:tblGrid>
      <w:tr w:rsidR="005277B4" w:rsidTr="005277B4">
        <w:trPr>
          <w:trHeight w:hRule="exact" w:val="288"/>
        </w:trPr>
        <w:tc>
          <w:tcPr>
            <w:tcW w:w="4942"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b/>
                <w:bCs/>
                <w:color w:val="FFFFFF" w:themeColor="light1"/>
                <w:kern w:val="24"/>
                <w:sz w:val="24"/>
                <w:szCs w:val="24"/>
              </w:rPr>
              <w:t xml:space="preserve">Patient characteristics </w:t>
            </w:r>
          </w:p>
        </w:tc>
        <w:tc>
          <w:tcPr>
            <w:tcW w:w="1896"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b/>
                <w:bCs/>
                <w:color w:val="FFFFFF" w:themeColor="light1"/>
                <w:kern w:val="24"/>
                <w:sz w:val="24"/>
                <w:szCs w:val="24"/>
              </w:rPr>
              <w:t xml:space="preserve">Positive FH </w:t>
            </w:r>
          </w:p>
        </w:tc>
        <w:tc>
          <w:tcPr>
            <w:tcW w:w="1974"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b/>
                <w:bCs/>
                <w:color w:val="FFFFFF" w:themeColor="light1"/>
                <w:kern w:val="24"/>
                <w:sz w:val="24"/>
                <w:szCs w:val="24"/>
              </w:rPr>
              <w:t>Negative FH</w:t>
            </w:r>
          </w:p>
        </w:tc>
        <w:tc>
          <w:tcPr>
            <w:tcW w:w="1800"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b/>
                <w:bCs/>
                <w:color w:val="FFFFFF" w:themeColor="light1"/>
                <w:kern w:val="24"/>
                <w:sz w:val="24"/>
                <w:szCs w:val="24"/>
              </w:rPr>
              <w:t>p</w:t>
            </w:r>
          </w:p>
        </w:tc>
      </w:tr>
      <w:tr w:rsidR="005277B4" w:rsidTr="005277B4">
        <w:trPr>
          <w:trHeight w:val="288"/>
        </w:trPr>
        <w:tc>
          <w:tcPr>
            <w:tcW w:w="4942" w:type="dxa"/>
            <w:tcBorders>
              <w:top w:val="single" w:sz="24"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b/>
                <w:bCs/>
                <w:color w:val="FFFFFF" w:themeColor="light1"/>
                <w:kern w:val="24"/>
                <w:sz w:val="24"/>
                <w:szCs w:val="24"/>
              </w:rPr>
              <w:t xml:space="preserve">Among male patients </w:t>
            </w:r>
          </w:p>
        </w:tc>
        <w:tc>
          <w:tcPr>
            <w:tcW w:w="1896"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18.8%</w:t>
            </w:r>
          </w:p>
        </w:tc>
        <w:tc>
          <w:tcPr>
            <w:tcW w:w="1974"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80.2%</w:t>
            </w:r>
          </w:p>
        </w:tc>
        <w:tc>
          <w:tcPr>
            <w:tcW w:w="1800" w:type="dxa"/>
            <w:vMerge w:val="restart"/>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 </w:t>
            </w:r>
          </w:p>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P=0.09</w:t>
            </w:r>
          </w:p>
        </w:tc>
      </w:tr>
      <w:tr w:rsidR="005277B4" w:rsidTr="005277B4">
        <w:trPr>
          <w:trHeight w:hRule="exact" w:val="331"/>
        </w:trPr>
        <w:tc>
          <w:tcPr>
            <w:tcW w:w="4942"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b/>
                <w:bCs/>
                <w:color w:val="FFFFFF" w:themeColor="light1"/>
                <w:kern w:val="24"/>
                <w:sz w:val="24"/>
                <w:szCs w:val="24"/>
              </w:rPr>
              <w:t>Among female patients</w:t>
            </w:r>
          </w:p>
        </w:tc>
        <w:tc>
          <w:tcPr>
            <w:tcW w:w="189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23%</w:t>
            </w:r>
          </w:p>
        </w:tc>
        <w:tc>
          <w:tcPr>
            <w:tcW w:w="197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77%</w:t>
            </w:r>
          </w:p>
        </w:tc>
        <w:tc>
          <w:tcPr>
            <w:tcW w:w="0" w:type="auto"/>
            <w:vMerge/>
            <w:tcBorders>
              <w:top w:val="single" w:sz="24" w:space="0" w:color="FFFFFF"/>
              <w:left w:val="single" w:sz="8" w:space="0" w:color="FFFFFF"/>
              <w:bottom w:val="single" w:sz="8" w:space="0" w:color="FFFFFF"/>
              <w:right w:val="single" w:sz="8" w:space="0" w:color="FFFFFF"/>
            </w:tcBorders>
            <w:vAlign w:val="center"/>
            <w:hideMark/>
          </w:tcPr>
          <w:p w:rsidR="005277B4" w:rsidRDefault="005277B4">
            <w:pPr>
              <w:spacing w:after="0" w:line="240" w:lineRule="auto"/>
              <w:rPr>
                <w:rFonts w:ascii="Arial" w:eastAsia="Times New Roman" w:hAnsi="Arial" w:cs="Arial"/>
                <w:sz w:val="24"/>
                <w:szCs w:val="24"/>
              </w:rPr>
            </w:pPr>
          </w:p>
        </w:tc>
      </w:tr>
      <w:tr w:rsidR="005277B4" w:rsidTr="005277B4">
        <w:trPr>
          <w:trHeight w:hRule="exact" w:val="317"/>
        </w:trPr>
        <w:tc>
          <w:tcPr>
            <w:tcW w:w="4942"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b/>
                <w:bCs/>
                <w:color w:val="FFFFFF" w:themeColor="light1"/>
                <w:kern w:val="24"/>
                <w:sz w:val="24"/>
                <w:szCs w:val="24"/>
              </w:rPr>
              <w:t>Mean patient age</w:t>
            </w:r>
          </w:p>
        </w:tc>
        <w:tc>
          <w:tcPr>
            <w:tcW w:w="189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 xml:space="preserve">55.3 yrs. </w:t>
            </w:r>
          </w:p>
        </w:tc>
        <w:tc>
          <w:tcPr>
            <w:tcW w:w="1974"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56.4 yrs.</w:t>
            </w:r>
          </w:p>
        </w:tc>
        <w:tc>
          <w:tcPr>
            <w:tcW w:w="18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0.5</w:t>
            </w:r>
          </w:p>
        </w:tc>
      </w:tr>
      <w:tr w:rsidR="005277B4" w:rsidTr="005277B4">
        <w:trPr>
          <w:trHeight w:hRule="exact" w:val="288"/>
        </w:trPr>
        <w:tc>
          <w:tcPr>
            <w:tcW w:w="4942"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b/>
                <w:bCs/>
                <w:color w:val="FFFFFF" w:themeColor="light1"/>
                <w:kern w:val="24"/>
                <w:sz w:val="24"/>
                <w:szCs w:val="24"/>
              </w:rPr>
              <w:t xml:space="preserve">Dx vintage among all patients </w:t>
            </w:r>
          </w:p>
        </w:tc>
        <w:tc>
          <w:tcPr>
            <w:tcW w:w="189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4.9 ±6.4</w:t>
            </w:r>
          </w:p>
        </w:tc>
        <w:tc>
          <w:tcPr>
            <w:tcW w:w="197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5.9 ±5.8</w:t>
            </w:r>
          </w:p>
        </w:tc>
        <w:tc>
          <w:tcPr>
            <w:tcW w:w="180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0.03</w:t>
            </w:r>
          </w:p>
        </w:tc>
      </w:tr>
      <w:tr w:rsidR="005277B4" w:rsidTr="005277B4">
        <w:trPr>
          <w:trHeight w:hRule="exact" w:val="302"/>
        </w:trPr>
        <w:tc>
          <w:tcPr>
            <w:tcW w:w="4942"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b/>
                <w:bCs/>
                <w:color w:val="FFFFFF" w:themeColor="light1"/>
                <w:kern w:val="24"/>
                <w:sz w:val="24"/>
                <w:szCs w:val="24"/>
              </w:rPr>
              <w:t>CKD vintage among patients</w:t>
            </w:r>
          </w:p>
        </w:tc>
        <w:tc>
          <w:tcPr>
            <w:tcW w:w="189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7.5±7.7</w:t>
            </w:r>
          </w:p>
        </w:tc>
        <w:tc>
          <w:tcPr>
            <w:tcW w:w="1974"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2.0±4.5</w:t>
            </w:r>
          </w:p>
        </w:tc>
        <w:tc>
          <w:tcPr>
            <w:tcW w:w="180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5277B4" w:rsidRDefault="005277B4">
            <w:pPr>
              <w:spacing w:after="0"/>
              <w:rPr>
                <w:rFonts w:ascii="Arial" w:eastAsia="Times New Roman" w:hAnsi="Arial" w:cs="Arial"/>
                <w:sz w:val="24"/>
                <w:szCs w:val="24"/>
              </w:rPr>
            </w:pPr>
            <w:r>
              <w:rPr>
                <w:rFonts w:ascii="Calibri" w:eastAsia="Times New Roman" w:hAnsi="Calibri" w:cs="Arial"/>
                <w:color w:val="000000" w:themeColor="dark1"/>
                <w:kern w:val="24"/>
                <w:sz w:val="24"/>
                <w:szCs w:val="24"/>
              </w:rPr>
              <w:t>0.0001</w:t>
            </w:r>
          </w:p>
        </w:tc>
      </w:tr>
    </w:tbl>
    <w:p w:rsidR="005277B4" w:rsidRDefault="005277B4" w:rsidP="005277B4">
      <w:pPr>
        <w:rPr>
          <w:b/>
          <w:bCs/>
          <w:sz w:val="24"/>
          <w:szCs w:val="24"/>
        </w:rPr>
      </w:pPr>
      <w:r>
        <w:rPr>
          <w:b/>
          <w:bCs/>
          <w:sz w:val="24"/>
          <w:szCs w:val="24"/>
        </w:rPr>
        <w:t xml:space="preserve">Table 2 </w:t>
      </w:r>
      <w:proofErr w:type="gramStart"/>
      <w:r>
        <w:rPr>
          <w:b/>
          <w:bCs/>
          <w:sz w:val="24"/>
          <w:szCs w:val="24"/>
        </w:rPr>
        <w:t>Comparing</w:t>
      </w:r>
      <w:proofErr w:type="gramEnd"/>
      <w:r>
        <w:rPr>
          <w:b/>
          <w:bCs/>
          <w:sz w:val="24"/>
          <w:szCs w:val="24"/>
        </w:rPr>
        <w:t xml:space="preserve"> some patient characteristics between those with and those without FH of kidney diseases</w:t>
      </w:r>
    </w:p>
    <w:p w:rsidR="005277B4" w:rsidRDefault="005277B4" w:rsidP="005277B4">
      <w:pPr>
        <w:rPr>
          <w:b/>
          <w:bCs/>
        </w:rPr>
      </w:pPr>
      <w:r>
        <w:rPr>
          <w:b/>
          <w:bCs/>
        </w:rPr>
        <w:t>Conclusion</w:t>
      </w:r>
    </w:p>
    <w:p w:rsidR="005277B4" w:rsidRDefault="005277B4" w:rsidP="005277B4">
      <w:r>
        <w:t xml:space="preserve">More patients with “unknown” or “hypertensive” diagnostic labels were seen in patients with FH but not when the causes of the patients were DN or GN  This suggests that under the umbrella of “unknown” or “hypertensive” diagnostic labels, a number of genetically-based kidney diseases might well be concealed. The </w:t>
      </w:r>
      <w:proofErr w:type="gramStart"/>
      <w:r>
        <w:t>dialysis  vintage</w:t>
      </w:r>
      <w:proofErr w:type="gramEnd"/>
      <w:r>
        <w:t xml:space="preserve"> was significantly shorter  and CKD vintage was significantly  longer  in the patients with FH.</w:t>
      </w:r>
    </w:p>
    <w:p w:rsidR="005277B4" w:rsidRDefault="005277B4" w:rsidP="005277B4">
      <w:pPr>
        <w:rPr>
          <w:b/>
          <w:bCs/>
        </w:rPr>
      </w:pPr>
    </w:p>
    <w:p w:rsidR="009A7BDF" w:rsidRDefault="009A7BDF"/>
    <w:sectPr w:rsidR="009A7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7B4"/>
    <w:rsid w:val="002F65C8"/>
    <w:rsid w:val="005277B4"/>
    <w:rsid w:val="009A7BDF"/>
    <w:rsid w:val="00BD7E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7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7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36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Sayyari, Abdullah</dc:creator>
  <cp:lastModifiedBy>Sayyari, Abdullah</cp:lastModifiedBy>
  <cp:revision>2</cp:revision>
  <dcterms:created xsi:type="dcterms:W3CDTF">2019-07-30T09:43:00Z</dcterms:created>
  <dcterms:modified xsi:type="dcterms:W3CDTF">2019-07-30T09:43:00Z</dcterms:modified>
</cp:coreProperties>
</file>