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1AF" w:rsidRDefault="008E71AF" w:rsidP="00FA6B80">
      <w:pPr>
        <w:pStyle w:val="NormalWeb"/>
        <w:shd w:val="clear" w:color="auto" w:fill="FFFFFB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00000" w:themeColor="text1"/>
          <w:sz w:val="30"/>
          <w:szCs w:val="30"/>
        </w:rPr>
      </w:pPr>
      <w:bookmarkStart w:id="0" w:name="_GoBack"/>
      <w:r>
        <w:rPr>
          <w:b/>
          <w:bCs/>
          <w:color w:val="000000" w:themeColor="text1"/>
          <w:sz w:val="30"/>
          <w:szCs w:val="30"/>
        </w:rPr>
        <w:t>Biomarkers for Prostate cancer diagnosis from genetic perspectives</w:t>
      </w:r>
    </w:p>
    <w:bookmarkEnd w:id="0"/>
    <w:p w:rsidR="008E71AF" w:rsidRDefault="008E71AF" w:rsidP="008E71AF">
      <w:pPr>
        <w:pStyle w:val="NormalWeb"/>
        <w:shd w:val="clear" w:color="auto" w:fill="FFFFFB"/>
        <w:spacing w:before="0" w:beforeAutospacing="0" w:after="0" w:afterAutospacing="0" w:line="360" w:lineRule="atLeast"/>
        <w:textAlignment w:val="baseline"/>
        <w:rPr>
          <w:b/>
          <w:bCs/>
          <w:color w:val="000000" w:themeColor="text1"/>
          <w:sz w:val="30"/>
          <w:szCs w:val="30"/>
        </w:rPr>
      </w:pPr>
    </w:p>
    <w:p w:rsidR="008E71AF" w:rsidRDefault="008E71AF" w:rsidP="008E71AF">
      <w:pPr>
        <w:bidi w:val="0"/>
        <w:rPr>
          <w:color w:val="000000"/>
          <w:shd w:val="clear" w:color="auto" w:fill="FFFFFF"/>
          <w:vertAlign w:val="superscript"/>
        </w:rPr>
      </w:pPr>
      <w:proofErr w:type="spellStart"/>
      <w:r>
        <w:rPr>
          <w:color w:val="000000"/>
          <w:shd w:val="clear" w:color="auto" w:fill="FFFFFF"/>
        </w:rPr>
        <w:t>Seyed</w:t>
      </w:r>
      <w:proofErr w:type="spellEnd"/>
      <w:r>
        <w:rPr>
          <w:color w:val="000000"/>
          <w:shd w:val="clear" w:color="auto" w:fill="FFFFFF"/>
        </w:rPr>
        <w:t xml:space="preserve"> Mohammad </w:t>
      </w:r>
      <w:proofErr w:type="spellStart"/>
      <w:r>
        <w:rPr>
          <w:color w:val="000000"/>
          <w:shd w:val="clear" w:color="auto" w:fill="FFFFFF"/>
        </w:rPr>
        <w:t>Kazem</w:t>
      </w:r>
      <w:proofErr w:type="spellEnd"/>
      <w:r>
        <w:rPr>
          <w:color w:val="000000"/>
          <w:shd w:val="clear" w:color="auto" w:fill="FFFFFF"/>
        </w:rPr>
        <w:t xml:space="preserve"> Aghamir</w:t>
      </w:r>
      <w:r>
        <w:rPr>
          <w:color w:val="000000"/>
          <w:shd w:val="clear" w:color="auto" w:fill="FFFFFF"/>
          <w:vertAlign w:val="superscript"/>
        </w:rPr>
        <w:t>1</w:t>
      </w:r>
      <w:proofErr w:type="gramStart"/>
      <w:r>
        <w:rPr>
          <w:color w:val="000000"/>
          <w:shd w:val="clear" w:color="auto" w:fill="FFFFFF"/>
        </w:rPr>
        <w:t xml:space="preserve">,  </w:t>
      </w:r>
      <w:proofErr w:type="spellStart"/>
      <w:r>
        <w:rPr>
          <w:color w:val="000000"/>
          <w:shd w:val="clear" w:color="auto" w:fill="FFFFFF"/>
        </w:rPr>
        <w:t>Fatemeh</w:t>
      </w:r>
      <w:proofErr w:type="spellEnd"/>
      <w:proofErr w:type="gramEnd"/>
      <w:r>
        <w:rPr>
          <w:color w:val="000000"/>
          <w:shd w:val="clear" w:color="auto" w:fill="FFFFFF"/>
        </w:rPr>
        <w:t xml:space="preserve"> Khatami</w:t>
      </w:r>
      <w:r>
        <w:rPr>
          <w:color w:val="000000"/>
          <w:shd w:val="clear" w:color="auto" w:fill="FFFFFF"/>
          <w:vertAlign w:val="superscript"/>
        </w:rPr>
        <w:t>1*</w:t>
      </w:r>
    </w:p>
    <w:p w:rsidR="008E71AF" w:rsidRDefault="008E71AF" w:rsidP="008E71AF">
      <w:pPr>
        <w:bidi w:val="0"/>
        <w:rPr>
          <w:i/>
          <w:iCs/>
          <w:color w:val="000000"/>
          <w:sz w:val="22"/>
          <w:szCs w:val="22"/>
          <w:shd w:val="clear" w:color="auto" w:fill="FFFFFF"/>
        </w:rPr>
      </w:pPr>
      <w:r>
        <w:rPr>
          <w:i/>
          <w:iCs/>
          <w:color w:val="000000"/>
          <w:shd w:val="clear" w:color="auto" w:fill="FFFFFF"/>
          <w:vertAlign w:val="superscript"/>
        </w:rPr>
        <w:t>1</w:t>
      </w:r>
      <w:r>
        <w:rPr>
          <w:i/>
          <w:iCs/>
          <w:color w:val="000000"/>
          <w:shd w:val="clear" w:color="auto" w:fill="FFFFFF"/>
        </w:rPr>
        <w:t>Urology Research Center, Tehran University of Medical Sciences, Tehran, Iran</w:t>
      </w:r>
    </w:p>
    <w:p w:rsidR="008E71AF" w:rsidRDefault="008E71AF" w:rsidP="008E71AF">
      <w:pPr>
        <w:shd w:val="clear" w:color="auto" w:fill="F7F8FA"/>
        <w:bidi w:val="0"/>
        <w:rPr>
          <w:i/>
          <w:iCs/>
          <w:color w:val="000000"/>
          <w:shd w:val="clear" w:color="auto" w:fill="FFFFFF"/>
        </w:rPr>
      </w:pPr>
    </w:p>
    <w:p w:rsidR="008E71AF" w:rsidRDefault="008E71AF" w:rsidP="008E71AF">
      <w:pPr>
        <w:bidi w:val="0"/>
        <w:rPr>
          <w:b/>
          <w:bCs/>
          <w:i/>
          <w:iCs/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shd w:val="clear" w:color="auto" w:fill="FFFFFF"/>
        </w:rPr>
        <w:t>*Corresponding Author:</w:t>
      </w:r>
    </w:p>
    <w:p w:rsidR="008E71AF" w:rsidRDefault="008E71AF" w:rsidP="008E71AF">
      <w:pPr>
        <w:tabs>
          <w:tab w:val="left" w:pos="7260"/>
          <w:tab w:val="right" w:pos="9026"/>
        </w:tabs>
        <w:bidi w:val="0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 xml:space="preserve"> Dr. </w:t>
      </w:r>
      <w:proofErr w:type="spellStart"/>
      <w:r>
        <w:rPr>
          <w:i/>
          <w:iCs/>
          <w:color w:val="000000"/>
          <w:shd w:val="clear" w:color="auto" w:fill="FFFFFF"/>
        </w:rPr>
        <w:t>Fatemeh</w:t>
      </w:r>
      <w:proofErr w:type="spellEnd"/>
      <w:r>
        <w:rPr>
          <w:i/>
          <w:iCs/>
          <w:color w:val="000000"/>
          <w:shd w:val="clear" w:color="auto" w:fill="FFFFFF"/>
        </w:rPr>
        <w:t xml:space="preserve"> Khatami</w:t>
      </w:r>
    </w:p>
    <w:p w:rsidR="008E71AF" w:rsidRDefault="008E71AF" w:rsidP="008E71AF">
      <w:pPr>
        <w:bidi w:val="0"/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Tel: (+9821) 6634 8560 </w:t>
      </w:r>
    </w:p>
    <w:p w:rsidR="008E71AF" w:rsidRDefault="008E71AF" w:rsidP="008E71AF">
      <w:pPr>
        <w:bidi w:val="0"/>
        <w:rPr>
          <w:i/>
          <w:iCs/>
        </w:rPr>
      </w:pPr>
      <w:r>
        <w:rPr>
          <w:i/>
          <w:iCs/>
          <w:color w:val="000000"/>
          <w:shd w:val="clear" w:color="auto" w:fill="FFFFFF"/>
        </w:rPr>
        <w:t>Fax: (+9821) 6634 8561</w:t>
      </w:r>
    </w:p>
    <w:p w:rsidR="008E71AF" w:rsidRDefault="008E71AF" w:rsidP="008E71AF">
      <w:pPr>
        <w:bidi w:val="0"/>
        <w:rPr>
          <w:i/>
          <w:iCs/>
        </w:rPr>
      </w:pPr>
      <w:r>
        <w:rPr>
          <w:i/>
          <w:iCs/>
          <w:color w:val="000000"/>
          <w:shd w:val="clear" w:color="auto" w:fill="FFFFFF"/>
        </w:rPr>
        <w:t>Email</w:t>
      </w:r>
      <w:r>
        <w:rPr>
          <w:i/>
          <w:iCs/>
        </w:rPr>
        <w:t xml:space="preserve">: </w:t>
      </w:r>
      <w:hyperlink r:id="rId4" w:history="1">
        <w:r>
          <w:rPr>
            <w:rStyle w:val="Hyperlink"/>
            <w:i/>
            <w:iCs/>
          </w:rPr>
          <w:t>f-khatami@alumnus.tums.ac.ir</w:t>
        </w:r>
      </w:hyperlink>
      <w:r>
        <w:rPr>
          <w:i/>
          <w:iCs/>
        </w:rPr>
        <w:t xml:space="preserve"> </w:t>
      </w:r>
    </w:p>
    <w:p w:rsidR="008E71AF" w:rsidRDefault="008E71AF" w:rsidP="008E71AF">
      <w:pPr>
        <w:bidi w:val="0"/>
        <w:rPr>
          <w:i/>
          <w:iCs/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shd w:val="clear" w:color="auto" w:fill="FFFFFF"/>
        </w:rPr>
        <w:t>Mailing Address:</w:t>
      </w:r>
      <w:r>
        <w:rPr>
          <w:i/>
          <w:iCs/>
          <w:color w:val="000000"/>
          <w:shd w:val="clear" w:color="auto" w:fill="FFFFFF"/>
        </w:rPr>
        <w:t xml:space="preserve"> Urology Research Center (URC), </w:t>
      </w:r>
      <w:proofErr w:type="spellStart"/>
      <w:r>
        <w:rPr>
          <w:i/>
          <w:iCs/>
          <w:color w:val="000000"/>
          <w:shd w:val="clear" w:color="auto" w:fill="FFFFFF"/>
        </w:rPr>
        <w:t>Sina</w:t>
      </w:r>
      <w:proofErr w:type="spellEnd"/>
      <w:r>
        <w:rPr>
          <w:i/>
          <w:iCs/>
          <w:color w:val="000000"/>
          <w:shd w:val="clear" w:color="auto" w:fill="FFFFFF"/>
        </w:rPr>
        <w:t xml:space="preserve"> Hospital, Hassan Abad Sq., Imam Khomeini Ave., Tehran, Iran</w:t>
      </w:r>
    </w:p>
    <w:p w:rsidR="008E71AF" w:rsidRDefault="008E71AF" w:rsidP="00FA6B80">
      <w:pPr>
        <w:pStyle w:val="NormalWeb"/>
        <w:shd w:val="clear" w:color="auto" w:fill="FFFFFB"/>
        <w:spacing w:before="0" w:beforeAutospacing="0" w:after="0" w:afterAutospacing="0"/>
        <w:textAlignment w:val="baseline"/>
        <w:rPr>
          <w:b/>
          <w:bCs/>
          <w:color w:val="000000" w:themeColor="text1"/>
          <w:sz w:val="30"/>
          <w:szCs w:val="30"/>
        </w:rPr>
      </w:pPr>
    </w:p>
    <w:p w:rsidR="008E71AF" w:rsidRDefault="008E71AF" w:rsidP="00FA6B80">
      <w:pPr>
        <w:pStyle w:val="NormalWeb"/>
        <w:shd w:val="clear" w:color="auto" w:fill="FFFFFB"/>
        <w:spacing w:before="0" w:beforeAutospacing="0" w:after="0" w:afterAutospacing="0"/>
        <w:textAlignment w:val="baseline"/>
        <w:rPr>
          <w:b/>
          <w:bCs/>
          <w:color w:val="000000" w:themeColor="text1"/>
          <w:sz w:val="30"/>
          <w:szCs w:val="30"/>
        </w:rPr>
      </w:pPr>
      <w:r>
        <w:rPr>
          <w:b/>
          <w:bCs/>
          <w:color w:val="000000" w:themeColor="text1"/>
          <w:sz w:val="30"/>
          <w:szCs w:val="30"/>
        </w:rPr>
        <w:t>Abstract</w:t>
      </w:r>
    </w:p>
    <w:p w:rsidR="008E71AF" w:rsidRDefault="008E71AF" w:rsidP="00FA6B8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inherit" w:hAnsi="inherit"/>
          <w:color w:val="000000" w:themeColor="text1"/>
        </w:rPr>
      </w:pPr>
      <w:r>
        <w:rPr>
          <w:rFonts w:ascii="inherit" w:hAnsi="inherit"/>
          <w:color w:val="000000" w:themeColor="text1"/>
        </w:rPr>
        <w:t>Prostate cancers (</w:t>
      </w:r>
      <w:proofErr w:type="spellStart"/>
      <w:r>
        <w:rPr>
          <w:rFonts w:ascii="inherit" w:hAnsi="inherit"/>
          <w:color w:val="000000" w:themeColor="text1"/>
        </w:rPr>
        <w:t>PCa</w:t>
      </w:r>
      <w:proofErr w:type="spellEnd"/>
      <w:r>
        <w:rPr>
          <w:rFonts w:ascii="inherit" w:hAnsi="inherit"/>
          <w:color w:val="000000" w:themeColor="text1"/>
        </w:rPr>
        <w:t xml:space="preserve">) are mainly diagnosed over screening with a prostate-specific antigen (PSA) blood test or a digital rectal exam (DRE). </w:t>
      </w:r>
      <w:r w:rsidR="00FA6B80">
        <w:rPr>
          <w:rFonts w:ascii="inherit" w:hAnsi="inherit"/>
          <w:color w:val="000000" w:themeColor="text1"/>
        </w:rPr>
        <w:t>Firstly,</w:t>
      </w:r>
      <w:r>
        <w:rPr>
          <w:rFonts w:ascii="inherit" w:hAnsi="inherit"/>
          <w:color w:val="000000" w:themeColor="text1"/>
        </w:rPr>
        <w:t xml:space="preserve"> </w:t>
      </w:r>
      <w:proofErr w:type="spellStart"/>
      <w:r>
        <w:rPr>
          <w:rFonts w:ascii="inherit" w:hAnsi="inherit"/>
          <w:color w:val="000000" w:themeColor="text1"/>
        </w:rPr>
        <w:t>PCatypically</w:t>
      </w:r>
      <w:proofErr w:type="spellEnd"/>
      <w:r>
        <w:rPr>
          <w:rFonts w:ascii="inherit" w:hAnsi="inherit"/>
          <w:color w:val="000000" w:themeColor="text1"/>
        </w:rPr>
        <w:t xml:space="preserve"> do not have symptoms contrary to advanced cancers that are diagnosed because of their symptoms. The exact diagnosis of </w:t>
      </w:r>
      <w:proofErr w:type="spellStart"/>
      <w:r>
        <w:rPr>
          <w:rFonts w:ascii="inherit" w:hAnsi="inherit"/>
          <w:color w:val="000000" w:themeColor="text1"/>
        </w:rPr>
        <w:t>PCa</w:t>
      </w:r>
      <w:proofErr w:type="spellEnd"/>
      <w:r>
        <w:rPr>
          <w:rFonts w:ascii="inherit" w:hAnsi="inherit"/>
          <w:color w:val="000000" w:themeColor="text1"/>
        </w:rPr>
        <w:t xml:space="preserve"> may only be made with a prostate biopsy but estimation of free PSA to total PSA ratio and </w:t>
      </w:r>
      <w:proofErr w:type="spellStart"/>
      <w:r>
        <w:rPr>
          <w:rFonts w:ascii="inherit" w:hAnsi="inherit"/>
          <w:color w:val="000000" w:themeColor="text1"/>
        </w:rPr>
        <w:t>Multiparametric</w:t>
      </w:r>
      <w:proofErr w:type="spellEnd"/>
      <w:r>
        <w:rPr>
          <w:rFonts w:ascii="inherit" w:hAnsi="inherit"/>
          <w:color w:val="000000" w:themeColor="text1"/>
        </w:rPr>
        <w:t>-magnetic resonance imaging (</w:t>
      </w:r>
      <w:proofErr w:type="spellStart"/>
      <w:r>
        <w:rPr>
          <w:rFonts w:ascii="inherit" w:hAnsi="inherit"/>
          <w:color w:val="000000" w:themeColor="text1"/>
        </w:rPr>
        <w:t>mp</w:t>
      </w:r>
      <w:proofErr w:type="spellEnd"/>
      <w:r>
        <w:rPr>
          <w:rFonts w:ascii="inherit" w:hAnsi="inherit"/>
          <w:color w:val="000000" w:themeColor="text1"/>
        </w:rPr>
        <w:t xml:space="preserve">-MRI) can improve the diagnosis accuracy previously  than </w:t>
      </w:r>
      <w:proofErr w:type="spellStart"/>
      <w:r>
        <w:rPr>
          <w:rFonts w:ascii="inherit" w:hAnsi="inherit"/>
          <w:color w:val="000000" w:themeColor="text1"/>
        </w:rPr>
        <w:t>transrectal</w:t>
      </w:r>
      <w:proofErr w:type="spellEnd"/>
      <w:r>
        <w:rPr>
          <w:rFonts w:ascii="inherit" w:hAnsi="inherit"/>
          <w:color w:val="000000" w:themeColor="text1"/>
        </w:rPr>
        <w:t xml:space="preserve"> ultrasound (TRUS) guided biopsy and biopsy. Several molecular biomarkers are considering improving the </w:t>
      </w:r>
      <w:proofErr w:type="spellStart"/>
      <w:r>
        <w:rPr>
          <w:rFonts w:ascii="inherit" w:hAnsi="inherit"/>
          <w:color w:val="000000" w:themeColor="text1"/>
        </w:rPr>
        <w:t>PCa</w:t>
      </w:r>
      <w:proofErr w:type="spellEnd"/>
      <w:r>
        <w:rPr>
          <w:rFonts w:ascii="inherit" w:hAnsi="inherit"/>
          <w:color w:val="000000" w:themeColor="text1"/>
        </w:rPr>
        <w:t xml:space="preserve"> diagnosis like </w:t>
      </w:r>
      <w:proofErr w:type="spellStart"/>
      <w:r>
        <w:rPr>
          <w:rFonts w:ascii="inherit" w:hAnsi="inherit"/>
          <w:color w:val="000000" w:themeColor="text1"/>
        </w:rPr>
        <w:t>ConfirmMDx</w:t>
      </w:r>
      <w:proofErr w:type="spellEnd"/>
      <w:r>
        <w:rPr>
          <w:rFonts w:ascii="inherit" w:hAnsi="inherit"/>
          <w:color w:val="000000" w:themeColor="text1"/>
        </w:rPr>
        <w:t xml:space="preserve">, Prostate Core </w:t>
      </w:r>
      <w:proofErr w:type="spellStart"/>
      <w:r>
        <w:rPr>
          <w:rFonts w:ascii="inherit" w:hAnsi="inherit"/>
          <w:color w:val="000000" w:themeColor="text1"/>
        </w:rPr>
        <w:t>Mitomic</w:t>
      </w:r>
      <w:proofErr w:type="spellEnd"/>
      <w:r>
        <w:rPr>
          <w:rFonts w:ascii="inherit" w:hAnsi="inherit"/>
          <w:color w:val="000000" w:themeColor="text1"/>
        </w:rPr>
        <w:t xml:space="preserve"> Test (PCMT), </w:t>
      </w:r>
      <w:r>
        <w:rPr>
          <w:rFonts w:ascii="inherit" w:hAnsi="inherit"/>
          <w:i/>
          <w:iCs/>
          <w:color w:val="000000" w:themeColor="text1"/>
        </w:rPr>
        <w:t>TMPRSS2-ERG</w:t>
      </w:r>
      <w:r>
        <w:rPr>
          <w:rFonts w:ascii="inherit" w:hAnsi="inherit"/>
          <w:color w:val="000000" w:themeColor="text1"/>
        </w:rPr>
        <w:t>, The </w:t>
      </w:r>
      <w:r>
        <w:rPr>
          <w:rFonts w:ascii="inherit" w:hAnsi="inherit"/>
          <w:i/>
          <w:iCs/>
          <w:color w:val="000000" w:themeColor="text1"/>
        </w:rPr>
        <w:t>PTEN</w:t>
      </w:r>
      <w:r>
        <w:rPr>
          <w:rFonts w:ascii="inherit" w:hAnsi="inherit"/>
          <w:color w:val="000000" w:themeColor="text1"/>
        </w:rPr>
        <w:t xml:space="preserve"> gene, </w:t>
      </w:r>
      <w:proofErr w:type="spellStart"/>
      <w:r>
        <w:rPr>
          <w:rFonts w:ascii="inherit" w:hAnsi="inherit"/>
          <w:color w:val="000000" w:themeColor="text1"/>
        </w:rPr>
        <w:t>ProMark</w:t>
      </w:r>
      <w:proofErr w:type="spellEnd"/>
      <w:r>
        <w:rPr>
          <w:rFonts w:ascii="inherit" w:hAnsi="inherit"/>
          <w:color w:val="000000" w:themeColor="text1"/>
        </w:rPr>
        <w:t xml:space="preserve">, 4K score including, and Circulating Tumor Cells (CTCs). These molecular biomarkers consider both genetic and epigenetic (DNA methylation) hallmarks of </w:t>
      </w:r>
      <w:proofErr w:type="spellStart"/>
      <w:r>
        <w:rPr>
          <w:rFonts w:ascii="inherit" w:hAnsi="inherit"/>
          <w:color w:val="000000" w:themeColor="text1"/>
        </w:rPr>
        <w:t>PCa</w:t>
      </w:r>
      <w:proofErr w:type="spellEnd"/>
      <w:r>
        <w:rPr>
          <w:rFonts w:ascii="inherit" w:hAnsi="inherit"/>
          <w:color w:val="000000" w:themeColor="text1"/>
        </w:rPr>
        <w:t xml:space="preserve">. Our aim is to present the overview of all molecular biomarkers of </w:t>
      </w:r>
      <w:proofErr w:type="spellStart"/>
      <w:r>
        <w:rPr>
          <w:rFonts w:ascii="inherit" w:hAnsi="inherit"/>
          <w:color w:val="000000" w:themeColor="text1"/>
        </w:rPr>
        <w:t>PCa</w:t>
      </w:r>
      <w:proofErr w:type="spellEnd"/>
      <w:r>
        <w:rPr>
          <w:rFonts w:ascii="inherit" w:hAnsi="inherit"/>
          <w:color w:val="000000" w:themeColor="text1"/>
        </w:rPr>
        <w:t xml:space="preserve"> and make it clear how they improve the management of </w:t>
      </w:r>
      <w:proofErr w:type="spellStart"/>
      <w:r>
        <w:rPr>
          <w:rFonts w:ascii="inherit" w:hAnsi="inherit"/>
          <w:color w:val="000000" w:themeColor="text1"/>
        </w:rPr>
        <w:t>PCa</w:t>
      </w:r>
      <w:proofErr w:type="spellEnd"/>
      <w:r>
        <w:rPr>
          <w:rFonts w:ascii="inherit" w:hAnsi="inherit"/>
          <w:color w:val="000000" w:themeColor="text1"/>
        </w:rPr>
        <w:t xml:space="preserve"> patients.</w:t>
      </w:r>
    </w:p>
    <w:p w:rsidR="00BE016C" w:rsidRDefault="00BE016C" w:rsidP="00FA6B8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inherit" w:hAnsi="inherit"/>
          <w:b/>
          <w:bCs/>
          <w:color w:val="000000" w:themeColor="text1"/>
        </w:rPr>
      </w:pPr>
    </w:p>
    <w:p w:rsidR="008E71AF" w:rsidRDefault="008E71AF" w:rsidP="00FA6B8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inherit" w:hAnsi="inherit"/>
          <w:color w:val="000000" w:themeColor="text1"/>
        </w:rPr>
      </w:pPr>
      <w:r>
        <w:rPr>
          <w:rFonts w:ascii="inherit" w:hAnsi="inherit"/>
          <w:b/>
          <w:bCs/>
          <w:color w:val="000000" w:themeColor="text1"/>
        </w:rPr>
        <w:t xml:space="preserve">Key words: </w:t>
      </w:r>
      <w:r>
        <w:rPr>
          <w:rFonts w:ascii="inherit" w:hAnsi="inherit"/>
          <w:color w:val="000000" w:themeColor="text1"/>
        </w:rPr>
        <w:t>Prostate Cancer</w:t>
      </w:r>
      <w:r>
        <w:rPr>
          <w:rFonts w:ascii="inherit" w:hAnsi="inherit"/>
          <w:b/>
          <w:bCs/>
          <w:color w:val="000000" w:themeColor="text1"/>
        </w:rPr>
        <w:t xml:space="preserve"> (</w:t>
      </w:r>
      <w:proofErr w:type="spellStart"/>
      <w:r>
        <w:rPr>
          <w:rFonts w:ascii="inherit" w:hAnsi="inherit"/>
          <w:color w:val="000000" w:themeColor="text1"/>
        </w:rPr>
        <w:t>PCa</w:t>
      </w:r>
      <w:proofErr w:type="spellEnd"/>
      <w:r>
        <w:rPr>
          <w:rFonts w:ascii="inherit" w:hAnsi="inherit"/>
          <w:color w:val="000000" w:themeColor="text1"/>
        </w:rPr>
        <w:t>), Diagnosis, biomarker</w:t>
      </w:r>
    </w:p>
    <w:p w:rsidR="00FA6B80" w:rsidRDefault="00FA6B80" w:rsidP="00FA6B8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inherit" w:hAnsi="inherit"/>
          <w:b/>
          <w:bCs/>
          <w:color w:val="000000" w:themeColor="text1"/>
        </w:rPr>
      </w:pPr>
    </w:p>
    <w:p w:rsidR="00FA6B80" w:rsidRPr="0040229C" w:rsidRDefault="00FA6B80" w:rsidP="00FA6B80">
      <w:pPr>
        <w:bidi w:val="0"/>
        <w:rPr>
          <w:b/>
          <w:bCs/>
        </w:rPr>
      </w:pPr>
      <w:r w:rsidRPr="0040229C">
        <w:rPr>
          <w:b/>
          <w:bCs/>
        </w:rPr>
        <w:t xml:space="preserve">Biography of prof. </w:t>
      </w:r>
      <w:proofErr w:type="spellStart"/>
      <w:r w:rsidRPr="0040229C">
        <w:rPr>
          <w:rFonts w:asciiTheme="majorBidi" w:hAnsiTheme="majorBidi" w:cstheme="majorBidi"/>
          <w:b/>
          <w:bCs/>
        </w:rPr>
        <w:t>Seyed</w:t>
      </w:r>
      <w:proofErr w:type="spellEnd"/>
      <w:r w:rsidRPr="0040229C">
        <w:rPr>
          <w:rFonts w:asciiTheme="majorBidi" w:hAnsiTheme="majorBidi" w:cstheme="majorBidi"/>
          <w:b/>
          <w:bCs/>
        </w:rPr>
        <w:t xml:space="preserve"> Mohammad </w:t>
      </w:r>
      <w:proofErr w:type="spellStart"/>
      <w:r w:rsidRPr="0040229C">
        <w:rPr>
          <w:rFonts w:asciiTheme="majorBidi" w:hAnsiTheme="majorBidi" w:cstheme="majorBidi"/>
          <w:b/>
          <w:bCs/>
        </w:rPr>
        <w:t>Kazem</w:t>
      </w:r>
      <w:proofErr w:type="spellEnd"/>
      <w:r w:rsidRPr="0040229C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40229C">
        <w:rPr>
          <w:rFonts w:asciiTheme="majorBidi" w:hAnsiTheme="majorBidi" w:cstheme="majorBidi"/>
          <w:b/>
          <w:bCs/>
        </w:rPr>
        <w:t>Aghamir</w:t>
      </w:r>
      <w:proofErr w:type="spellEnd"/>
    </w:p>
    <w:p w:rsidR="00FA6B80" w:rsidRDefault="00FA6B80" w:rsidP="00FA6B80">
      <w:pPr>
        <w:bidi w:val="0"/>
        <w:jc w:val="both"/>
      </w:pPr>
      <w:r>
        <w:t xml:space="preserve">I entered the Tehran University of Medical Sciences for graduation in the complementary course of fellowship in </w:t>
      </w:r>
      <w:proofErr w:type="spellStart"/>
      <w:r>
        <w:t>Endourology</w:t>
      </w:r>
      <w:proofErr w:type="spellEnd"/>
      <w:r>
        <w:t xml:space="preserve">. After that, I established this field for the first time in 2000 at </w:t>
      </w:r>
      <w:proofErr w:type="spellStart"/>
      <w:r>
        <w:t>Sina</w:t>
      </w:r>
      <w:proofErr w:type="spellEnd"/>
      <w:r>
        <w:t xml:space="preserve"> Hospital. After 15 years, I trained more than thirty specialists in this field. In 2014, I founded the novel </w:t>
      </w:r>
      <w:proofErr w:type="spellStart"/>
      <w:r>
        <w:t>Endurology</w:t>
      </w:r>
      <w:proofErr w:type="spellEnd"/>
      <w:r>
        <w:t xml:space="preserve"> course called RIRS (retrograde </w:t>
      </w:r>
      <w:proofErr w:type="spellStart"/>
      <w:r>
        <w:t>intrarenal</w:t>
      </w:r>
      <w:proofErr w:type="spellEnd"/>
      <w:r>
        <w:t xml:space="preserve"> surgery) for the first time in IRAN and over the last recent five years, I have had four inventions in urology, which </w:t>
      </w:r>
      <w:proofErr w:type="gramStart"/>
      <w:r>
        <w:t>have been completely registered</w:t>
      </w:r>
      <w:proofErr w:type="gramEnd"/>
      <w:r>
        <w:t>.</w:t>
      </w:r>
    </w:p>
    <w:p w:rsidR="00FA6B80" w:rsidRDefault="00FA6B80" w:rsidP="00FA6B80">
      <w:pPr>
        <w:bidi w:val="0"/>
        <w:jc w:val="both"/>
      </w:pPr>
      <w:r>
        <w:t xml:space="preserve"> I won the </w:t>
      </w:r>
      <w:proofErr w:type="spellStart"/>
      <w:r>
        <w:t>Sina</w:t>
      </w:r>
      <w:proofErr w:type="spellEnd"/>
      <w:r>
        <w:t xml:space="preserve"> Festival Awards (SFA) in 2015, and I have been responsible for the training of Urology Assistants at </w:t>
      </w:r>
      <w:proofErr w:type="spellStart"/>
      <w:r>
        <w:t>Sina</w:t>
      </w:r>
      <w:proofErr w:type="spellEnd"/>
      <w:r>
        <w:t xml:space="preserve"> Hospital for more than 19 years.  I am currently responsible for the Department of Urology Research Center at the Tehran University of Medical Sciences and Vice-Chancellor of </w:t>
      </w:r>
      <w:proofErr w:type="spellStart"/>
      <w:r>
        <w:t>Sina</w:t>
      </w:r>
      <w:proofErr w:type="spellEnd"/>
      <w:r>
        <w:t xml:space="preserve"> Hospital.</w:t>
      </w:r>
    </w:p>
    <w:p w:rsidR="00FA6B80" w:rsidRDefault="00FA6B80" w:rsidP="00FA6B80">
      <w:pPr>
        <w:bidi w:val="0"/>
        <w:jc w:val="both"/>
      </w:pPr>
    </w:p>
    <w:p w:rsidR="00BE016C" w:rsidRDefault="00BE016C" w:rsidP="00BE016C">
      <w:pPr>
        <w:bidi w:val="0"/>
        <w:jc w:val="both"/>
      </w:pPr>
    </w:p>
    <w:p w:rsidR="00BE016C" w:rsidRDefault="00BE016C" w:rsidP="00BE016C">
      <w:pPr>
        <w:bidi w:val="0"/>
        <w:jc w:val="both"/>
      </w:pPr>
    </w:p>
    <w:p w:rsidR="00BE016C" w:rsidRDefault="00BE016C" w:rsidP="00BE016C">
      <w:pPr>
        <w:bidi w:val="0"/>
        <w:jc w:val="both"/>
      </w:pPr>
    </w:p>
    <w:p w:rsidR="00BE016C" w:rsidRDefault="00BE016C" w:rsidP="00BE016C">
      <w:pPr>
        <w:bidi w:val="0"/>
        <w:jc w:val="both"/>
      </w:pPr>
    </w:p>
    <w:p w:rsidR="00BE016C" w:rsidRDefault="00BE016C" w:rsidP="00BE016C">
      <w:pPr>
        <w:bidi w:val="0"/>
        <w:jc w:val="both"/>
      </w:pPr>
    </w:p>
    <w:p w:rsidR="00BE016C" w:rsidRPr="007B36DB" w:rsidRDefault="00BE016C" w:rsidP="00BE016C">
      <w:pPr>
        <w:bidi w:val="0"/>
        <w:jc w:val="both"/>
      </w:pPr>
    </w:p>
    <w:p w:rsidR="008E71AF" w:rsidRDefault="00FA6B80" w:rsidP="00BE016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inherit" w:hAnsi="inherit"/>
          <w:color w:val="000000" w:themeColor="text1"/>
        </w:rPr>
      </w:pPr>
      <w:r>
        <w:rPr>
          <w:rFonts w:ascii="Arial"/>
          <w:b/>
          <w:color w:val="BF5A14"/>
          <w:sz w:val="20"/>
        </w:rPr>
        <w:t>Recent Publications</w:t>
      </w:r>
      <w:r w:rsidR="008E71AF">
        <w:rPr>
          <w:rFonts w:ascii="inherit" w:hAnsi="inherit"/>
          <w:color w:val="000000" w:themeColor="text1"/>
        </w:rPr>
        <w:t>.</w:t>
      </w:r>
    </w:p>
    <w:p w:rsidR="007C0068" w:rsidRDefault="007C0068" w:rsidP="00BE016C">
      <w:pPr>
        <w:autoSpaceDE w:val="0"/>
        <w:autoSpaceDN w:val="0"/>
        <w:bidi w:val="0"/>
        <w:adjustRightInd w:val="0"/>
        <w:jc w:val="both"/>
      </w:pPr>
      <w:r>
        <w:t>1-</w:t>
      </w:r>
      <w:r w:rsidRPr="007C0068">
        <w:rPr>
          <w:noProof/>
        </w:rPr>
        <w:t xml:space="preserve"> </w:t>
      </w:r>
      <w:r w:rsidRPr="007C0068">
        <w:rPr>
          <w:noProof/>
        </w:rPr>
        <w:t>Aghamir SMK, Heshmat R, Ebrahimi M, Ketabchi SE, Dizaji SP, Khatami F. The Impact Of Succinate Dehydrogenase Gene (SDH) Mutations In Renal Cell Carcinoma (RCC): A Systematic Review. OncoTargets and therapy. 2019;12:7929.</w:t>
      </w:r>
    </w:p>
    <w:p w:rsidR="007C0068" w:rsidRDefault="007C0068" w:rsidP="007C0068">
      <w:pPr>
        <w:autoSpaceDE w:val="0"/>
        <w:autoSpaceDN w:val="0"/>
        <w:bidi w:val="0"/>
        <w:adjustRightInd w:val="0"/>
        <w:jc w:val="both"/>
      </w:pPr>
      <w:r>
        <w:t>2-</w:t>
      </w:r>
      <w:r w:rsidRPr="007C0068">
        <w:t xml:space="preserve"> </w:t>
      </w:r>
      <w:r w:rsidRPr="007C0068">
        <w:rPr>
          <w:noProof/>
        </w:rPr>
        <w:t>Naderi G, Azadfar A, Yahyazadeh SR, Khatami F, Aghamir SMK. Impact of the donor-recipient gender matching on the graft survival from live donors. BMC nephrology. 2020;21(1):1-7.</w:t>
      </w:r>
    </w:p>
    <w:p w:rsidR="007C0068" w:rsidRDefault="007C0068" w:rsidP="007C0068">
      <w:pPr>
        <w:autoSpaceDE w:val="0"/>
        <w:autoSpaceDN w:val="0"/>
        <w:bidi w:val="0"/>
        <w:adjustRightInd w:val="0"/>
        <w:jc w:val="both"/>
      </w:pPr>
      <w:r>
        <w:t xml:space="preserve">3- </w:t>
      </w:r>
      <w:r w:rsidRPr="007C0068">
        <w:rPr>
          <w:noProof/>
        </w:rPr>
        <w:t>Aghamir SMK, Khatami F, Rahimi MR, Guitynavard F. Giant benign prostatic hyperplasia: A case report. Urology case reports. 2020;28:101051.</w:t>
      </w:r>
    </w:p>
    <w:p w:rsidR="007C0068" w:rsidRDefault="007C0068" w:rsidP="007C0068">
      <w:pPr>
        <w:autoSpaceDE w:val="0"/>
        <w:autoSpaceDN w:val="0"/>
        <w:bidi w:val="0"/>
        <w:adjustRightInd w:val="0"/>
        <w:jc w:val="both"/>
        <w:rPr>
          <w:noProof/>
        </w:rPr>
      </w:pPr>
      <w:r>
        <w:t xml:space="preserve">4- </w:t>
      </w:r>
      <w:r w:rsidRPr="007C0068">
        <w:rPr>
          <w:noProof/>
        </w:rPr>
        <w:t>Khatami F, Aghamir SMK, Tavangar SM. Oncometabolites: A new insight for oncology. Molecular genetics &amp; genomic medicine. 2019;7(9).</w:t>
      </w:r>
    </w:p>
    <w:p w:rsidR="00BE016C" w:rsidRPr="007C0068" w:rsidRDefault="007C0068" w:rsidP="00BE016C">
      <w:pPr>
        <w:pStyle w:val="EndNoteBibliography"/>
        <w:bidi w:val="0"/>
      </w:pPr>
      <w:r>
        <w:t>5-</w:t>
      </w:r>
      <w:r w:rsidR="00BE016C" w:rsidRPr="00BE016C">
        <w:t xml:space="preserve"> </w:t>
      </w:r>
      <w:r w:rsidR="00BE016C" w:rsidRPr="007C0068">
        <w:t>Hosseini SR, Mohseni MG, Aghamir SMK, Rezaei H. Effect of Irrigation Solution Temperature on Complication of Percutaneous Nephrolithotomy: A Randomized Clinical Trial. Urology Journal. 2019;16(06):525-9.</w:t>
      </w:r>
    </w:p>
    <w:p w:rsidR="007C0068" w:rsidRDefault="007C0068" w:rsidP="00BE016C">
      <w:pPr>
        <w:autoSpaceDE w:val="0"/>
        <w:autoSpaceDN w:val="0"/>
        <w:bidi w:val="0"/>
        <w:adjustRightInd w:val="0"/>
        <w:jc w:val="both"/>
        <w:rPr>
          <w:noProof/>
        </w:rPr>
      </w:pPr>
    </w:p>
    <w:sectPr w:rsidR="007C0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zw0xwz40atd7ewe0bpsps2pzxve0sw2r0s&quot;&gt;My EndNote Library4&lt;record-ids&gt;&lt;item&gt;13053&lt;/item&gt;&lt;/record-ids&gt;&lt;/item&gt;&lt;/Libraries&gt;"/>
  </w:docVars>
  <w:rsids>
    <w:rsidRoot w:val="00D62321"/>
    <w:rsid w:val="00573684"/>
    <w:rsid w:val="007C0068"/>
    <w:rsid w:val="008E71AF"/>
    <w:rsid w:val="00906FD6"/>
    <w:rsid w:val="00A03801"/>
    <w:rsid w:val="00B01EF1"/>
    <w:rsid w:val="00BE016C"/>
    <w:rsid w:val="00D62321"/>
    <w:rsid w:val="00FA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EF114"/>
  <w15:chartTrackingRefBased/>
  <w15:docId w15:val="{B7C48AE6-9F15-4EB0-A483-F111906AF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32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62321"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573684"/>
    <w:pPr>
      <w:bidi w:val="0"/>
      <w:spacing w:before="100" w:beforeAutospacing="1" w:after="100" w:afterAutospacing="1"/>
    </w:pPr>
  </w:style>
  <w:style w:type="character" w:customStyle="1" w:styleId="NormalWebChar">
    <w:name w:val="Normal (Web) Char"/>
    <w:basedOn w:val="DefaultParagraphFont"/>
    <w:link w:val="NormalWeb"/>
    <w:uiPriority w:val="99"/>
    <w:semiHidden/>
    <w:locked/>
    <w:rsid w:val="008E71AF"/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7C0068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C0068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7C0068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C0068"/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-khatami@alumnus.tums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urc</dc:creator>
  <cp:keywords/>
  <dc:description/>
  <cp:lastModifiedBy>URC</cp:lastModifiedBy>
  <cp:revision>2</cp:revision>
  <dcterms:created xsi:type="dcterms:W3CDTF">2020-02-18T08:35:00Z</dcterms:created>
  <dcterms:modified xsi:type="dcterms:W3CDTF">2020-02-18T08:35:00Z</dcterms:modified>
</cp:coreProperties>
</file>