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E75" w:rsidRPr="005E3DB7" w:rsidRDefault="005E3DB7" w:rsidP="005E3DB7">
      <w:pPr>
        <w:shd w:val="clear" w:color="auto" w:fill="FFFFFF"/>
        <w:spacing w:after="0" w:line="240" w:lineRule="auto"/>
        <w:jc w:val="center"/>
        <w:rPr>
          <w:rFonts w:ascii="Times New Roman" w:eastAsia="Times New Roman" w:hAnsi="Times New Roman" w:cs="Times New Roman"/>
          <w:b/>
          <w:color w:val="232323"/>
          <w:sz w:val="24"/>
          <w:szCs w:val="24"/>
          <w:lang w:eastAsia="en-GB"/>
        </w:rPr>
      </w:pPr>
      <w:r w:rsidRPr="005E3DB7">
        <w:rPr>
          <w:rFonts w:ascii="Times New Roman" w:eastAsia="Times New Roman" w:hAnsi="Times New Roman" w:cs="Times New Roman"/>
          <w:b/>
          <w:color w:val="232323"/>
          <w:sz w:val="24"/>
          <w:szCs w:val="24"/>
          <w:lang w:eastAsia="en-GB"/>
        </w:rPr>
        <w:t>SCREENING FOR NEONATAL HIP INSTABILITY</w:t>
      </w:r>
    </w:p>
    <w:p w:rsidR="006C2E75" w:rsidRDefault="006C2E75" w:rsidP="006C2E75">
      <w:pPr>
        <w:shd w:val="clear" w:color="auto" w:fill="FFFFFF"/>
        <w:spacing w:after="0" w:line="240" w:lineRule="auto"/>
        <w:jc w:val="both"/>
        <w:rPr>
          <w:rFonts w:ascii="Times New Roman" w:eastAsia="Times New Roman" w:hAnsi="Times New Roman" w:cs="Times New Roman"/>
          <w:color w:val="232323"/>
          <w:sz w:val="24"/>
          <w:szCs w:val="24"/>
          <w:lang w:eastAsia="en-GB"/>
        </w:rPr>
      </w:pPr>
    </w:p>
    <w:p w:rsidR="006C2E75" w:rsidRDefault="006C2E75" w:rsidP="006C2E75">
      <w:pPr>
        <w:shd w:val="clear" w:color="auto" w:fill="FFFFFF"/>
        <w:spacing w:after="0" w:line="240" w:lineRule="auto"/>
        <w:jc w:val="both"/>
        <w:rPr>
          <w:rFonts w:ascii="Times New Roman" w:eastAsia="Times New Roman" w:hAnsi="Times New Roman" w:cs="Times New Roman"/>
          <w:color w:val="232323"/>
          <w:sz w:val="24"/>
          <w:szCs w:val="24"/>
          <w:lang w:eastAsia="en-GB"/>
        </w:rPr>
      </w:pPr>
    </w:p>
    <w:p w:rsidR="00C51D8D" w:rsidRPr="006F53B9" w:rsidRDefault="00C51D8D" w:rsidP="00C51D8D">
      <w:pPr>
        <w:spacing w:after="0" w:line="240" w:lineRule="auto"/>
        <w:jc w:val="center"/>
        <w:rPr>
          <w:rFonts w:ascii="Times New Roman" w:hAnsi="Times New Roman" w:cs="Times New Roman"/>
          <w:color w:val="000000"/>
          <w:sz w:val="24"/>
          <w:szCs w:val="24"/>
          <w:shd w:val="clear" w:color="auto" w:fill="FFFFFF"/>
        </w:rPr>
      </w:pPr>
      <w:proofErr w:type="spellStart"/>
      <w:r w:rsidRPr="006F53B9">
        <w:rPr>
          <w:rFonts w:ascii="Times New Roman" w:hAnsi="Times New Roman" w:cs="Times New Roman"/>
          <w:color w:val="000000"/>
          <w:sz w:val="24"/>
          <w:szCs w:val="24"/>
          <w:shd w:val="clear" w:color="auto" w:fill="FFFFFF"/>
        </w:rPr>
        <w:t>Ilir</w:t>
      </w:r>
      <w:proofErr w:type="spellEnd"/>
      <w:r w:rsidRPr="006F53B9">
        <w:rPr>
          <w:rFonts w:ascii="Times New Roman" w:hAnsi="Times New Roman" w:cs="Times New Roman"/>
          <w:color w:val="000000"/>
          <w:sz w:val="24"/>
          <w:szCs w:val="24"/>
          <w:shd w:val="clear" w:color="auto" w:fill="FFFFFF"/>
        </w:rPr>
        <w:t xml:space="preserve"> </w:t>
      </w:r>
      <w:proofErr w:type="gramStart"/>
      <w:r w:rsidRPr="006F53B9">
        <w:rPr>
          <w:rFonts w:ascii="Times New Roman" w:hAnsi="Times New Roman" w:cs="Times New Roman"/>
          <w:color w:val="000000"/>
          <w:sz w:val="24"/>
          <w:szCs w:val="24"/>
          <w:shd w:val="clear" w:color="auto" w:fill="FFFFFF"/>
        </w:rPr>
        <w:t>Smailaj</w:t>
      </w:r>
      <w:r w:rsidRPr="006F53B9">
        <w:rPr>
          <w:rFonts w:ascii="Times New Roman" w:hAnsi="Times New Roman" w:cs="Times New Roman"/>
          <w:color w:val="000000"/>
          <w:sz w:val="24"/>
          <w:szCs w:val="24"/>
          <w:shd w:val="clear" w:color="auto" w:fill="FFFFFF"/>
          <w:vertAlign w:val="superscript"/>
        </w:rPr>
        <w:t xml:space="preserve">1 </w:t>
      </w:r>
      <w:r w:rsidRPr="006F53B9">
        <w:rPr>
          <w:rFonts w:ascii="Times New Roman" w:hAnsi="Times New Roman" w:cs="Times New Roman"/>
          <w:color w:val="000000"/>
          <w:sz w:val="24"/>
          <w:szCs w:val="24"/>
          <w:shd w:val="clear" w:color="auto" w:fill="FFFFFF"/>
        </w:rPr>
        <w:t>,</w:t>
      </w:r>
      <w:proofErr w:type="gramEnd"/>
      <w:r w:rsidRPr="006F53B9">
        <w:rPr>
          <w:rFonts w:ascii="Times New Roman" w:hAnsi="Times New Roman" w:cs="Times New Roman"/>
          <w:color w:val="000000"/>
          <w:sz w:val="24"/>
          <w:szCs w:val="24"/>
          <w:shd w:val="clear" w:color="auto" w:fill="FFFFFF"/>
        </w:rPr>
        <w:t xml:space="preserve"> Edi Gjika</w:t>
      </w:r>
      <w:r w:rsidRPr="006F53B9">
        <w:rPr>
          <w:rFonts w:ascii="Times New Roman" w:hAnsi="Times New Roman" w:cs="Times New Roman"/>
          <w:color w:val="000000"/>
          <w:sz w:val="24"/>
          <w:szCs w:val="24"/>
          <w:shd w:val="clear" w:color="auto" w:fill="FFFFFF"/>
          <w:vertAlign w:val="superscript"/>
        </w:rPr>
        <w:t>2</w:t>
      </w:r>
      <w:r w:rsidRPr="006F53B9">
        <w:rPr>
          <w:rFonts w:ascii="Times New Roman" w:hAnsi="Times New Roman" w:cs="Times New Roman"/>
          <w:color w:val="000000"/>
          <w:sz w:val="24"/>
          <w:szCs w:val="24"/>
          <w:shd w:val="clear" w:color="auto" w:fill="FFFFFF"/>
        </w:rPr>
        <w:t xml:space="preserve">,  </w:t>
      </w:r>
      <w:proofErr w:type="spellStart"/>
      <w:r w:rsidRPr="006F53B9">
        <w:rPr>
          <w:rFonts w:ascii="Times New Roman" w:hAnsi="Times New Roman" w:cs="Times New Roman"/>
          <w:color w:val="000000"/>
          <w:sz w:val="24"/>
          <w:szCs w:val="24"/>
          <w:shd w:val="clear" w:color="auto" w:fill="FFFFFF"/>
        </w:rPr>
        <w:t>Dritan</w:t>
      </w:r>
      <w:proofErr w:type="spellEnd"/>
      <w:r w:rsidRPr="006F53B9">
        <w:rPr>
          <w:rFonts w:ascii="Times New Roman" w:hAnsi="Times New Roman" w:cs="Times New Roman"/>
          <w:color w:val="000000"/>
          <w:sz w:val="24"/>
          <w:szCs w:val="24"/>
          <w:shd w:val="clear" w:color="auto" w:fill="FFFFFF"/>
        </w:rPr>
        <w:t xml:space="preserve"> Ulqinaku</w:t>
      </w:r>
      <w:r w:rsidRPr="006F53B9">
        <w:rPr>
          <w:rFonts w:ascii="Times New Roman" w:hAnsi="Times New Roman" w:cs="Times New Roman"/>
          <w:color w:val="000000"/>
          <w:sz w:val="24"/>
          <w:szCs w:val="24"/>
          <w:shd w:val="clear" w:color="auto" w:fill="FFFFFF"/>
          <w:vertAlign w:val="superscript"/>
        </w:rPr>
        <w:t>3</w:t>
      </w:r>
      <w:r w:rsidRPr="006F53B9">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Artan</w:t>
      </w:r>
      <w:proofErr w:type="spellEnd"/>
      <w:r>
        <w:rPr>
          <w:rFonts w:ascii="Times New Roman" w:hAnsi="Times New Roman" w:cs="Times New Roman"/>
          <w:color w:val="000000"/>
          <w:sz w:val="24"/>
          <w:szCs w:val="24"/>
          <w:shd w:val="clear" w:color="auto" w:fill="FFFFFF"/>
        </w:rPr>
        <w:t xml:space="preserve"> Simaku</w:t>
      </w:r>
      <w:r w:rsidRPr="00C51D8D">
        <w:rPr>
          <w:rFonts w:ascii="Times New Roman" w:hAnsi="Times New Roman" w:cs="Times New Roman"/>
          <w:color w:val="000000"/>
          <w:sz w:val="24"/>
          <w:szCs w:val="24"/>
          <w:shd w:val="clear" w:color="auto" w:fill="FFFFFF"/>
          <w:vertAlign w:val="superscript"/>
        </w:rPr>
        <w:t>3</w:t>
      </w:r>
    </w:p>
    <w:p w:rsidR="00C51D8D" w:rsidRPr="006F53B9" w:rsidRDefault="00C51D8D" w:rsidP="00C51D8D">
      <w:pPr>
        <w:spacing w:after="0" w:line="240" w:lineRule="auto"/>
        <w:jc w:val="center"/>
        <w:rPr>
          <w:rFonts w:ascii="Times New Roman" w:hAnsi="Times New Roman" w:cs="Times New Roman"/>
          <w:color w:val="000000"/>
          <w:sz w:val="24"/>
          <w:szCs w:val="24"/>
          <w:shd w:val="clear" w:color="auto" w:fill="FFFFFF"/>
        </w:rPr>
      </w:pPr>
    </w:p>
    <w:p w:rsidR="00C51D8D" w:rsidRPr="006F53B9" w:rsidRDefault="00C51D8D" w:rsidP="00C51D8D">
      <w:pPr>
        <w:spacing w:after="0" w:line="240" w:lineRule="auto"/>
        <w:jc w:val="center"/>
        <w:rPr>
          <w:rFonts w:ascii="Times New Roman" w:hAnsi="Times New Roman" w:cs="Times New Roman"/>
          <w:color w:val="000000"/>
          <w:sz w:val="24"/>
          <w:szCs w:val="24"/>
          <w:shd w:val="clear" w:color="auto" w:fill="FFFFFF"/>
        </w:rPr>
      </w:pPr>
    </w:p>
    <w:p w:rsidR="00C51D8D" w:rsidRPr="006F53B9" w:rsidRDefault="00C51D8D" w:rsidP="00C51D8D">
      <w:pPr>
        <w:spacing w:after="0" w:line="240" w:lineRule="auto"/>
        <w:jc w:val="center"/>
        <w:rPr>
          <w:rFonts w:ascii="Times New Roman" w:hAnsi="Times New Roman" w:cs="Times New Roman"/>
          <w:color w:val="000000"/>
          <w:sz w:val="24"/>
          <w:szCs w:val="24"/>
          <w:shd w:val="clear" w:color="auto" w:fill="FFFFFF"/>
        </w:rPr>
      </w:pPr>
      <w:r w:rsidRPr="006F53B9">
        <w:rPr>
          <w:rFonts w:ascii="Times New Roman" w:hAnsi="Times New Roman" w:cs="Times New Roman"/>
          <w:sz w:val="24"/>
          <w:szCs w:val="24"/>
          <w:vertAlign w:val="superscript"/>
        </w:rPr>
        <w:t>1</w:t>
      </w:r>
      <w:r w:rsidRPr="006F53B9">
        <w:rPr>
          <w:rFonts w:ascii="Times New Roman" w:hAnsi="Times New Roman" w:cs="Times New Roman"/>
          <w:sz w:val="24"/>
          <w:szCs w:val="24"/>
        </w:rPr>
        <w:t xml:space="preserve">Regional Hospital Centre, </w:t>
      </w:r>
      <w:proofErr w:type="spellStart"/>
      <w:r w:rsidRPr="006F53B9">
        <w:rPr>
          <w:rFonts w:ascii="Times New Roman" w:hAnsi="Times New Roman" w:cs="Times New Roman"/>
          <w:sz w:val="24"/>
          <w:szCs w:val="24"/>
        </w:rPr>
        <w:t>Prizren</w:t>
      </w:r>
      <w:proofErr w:type="spellEnd"/>
      <w:r w:rsidRPr="006F53B9">
        <w:rPr>
          <w:rFonts w:ascii="Times New Roman" w:hAnsi="Times New Roman" w:cs="Times New Roman"/>
          <w:sz w:val="24"/>
          <w:szCs w:val="24"/>
        </w:rPr>
        <w:t>, Kosovo</w:t>
      </w:r>
    </w:p>
    <w:p w:rsidR="00C51D8D" w:rsidRPr="00A339A5" w:rsidRDefault="00C51D8D" w:rsidP="00C51D8D">
      <w:pPr>
        <w:spacing w:after="0" w:line="240" w:lineRule="auto"/>
        <w:jc w:val="center"/>
        <w:rPr>
          <w:rFonts w:ascii="Times New Roman" w:hAnsi="Times New Roman" w:cs="Times New Roman"/>
          <w:color w:val="000000"/>
          <w:sz w:val="24"/>
          <w:szCs w:val="24"/>
          <w:shd w:val="clear" w:color="auto" w:fill="FFFFFF"/>
          <w:vertAlign w:val="superscript"/>
        </w:rPr>
      </w:pPr>
      <w:r w:rsidRPr="00A339A5">
        <w:rPr>
          <w:rFonts w:ascii="Times New Roman" w:hAnsi="Times New Roman" w:cs="Times New Roman"/>
          <w:color w:val="000000"/>
          <w:sz w:val="24"/>
          <w:szCs w:val="24"/>
          <w:shd w:val="clear" w:color="auto" w:fill="FFFFFF"/>
          <w:vertAlign w:val="superscript"/>
        </w:rPr>
        <w:t>2</w:t>
      </w:r>
      <w:r>
        <w:rPr>
          <w:rFonts w:ascii="Times New Roman" w:hAnsi="Times New Roman" w:cs="Times New Roman"/>
          <w:color w:val="000000"/>
          <w:sz w:val="24"/>
          <w:szCs w:val="24"/>
          <w:shd w:val="clear" w:color="auto" w:fill="FFFFFF"/>
        </w:rPr>
        <w:t>University Hospital of Trauma, Tirana, Albania</w:t>
      </w:r>
    </w:p>
    <w:p w:rsidR="00C51D8D" w:rsidRPr="003C4463" w:rsidRDefault="00C51D8D" w:rsidP="00C51D8D">
      <w:pPr>
        <w:spacing w:after="0" w:line="240" w:lineRule="auto"/>
        <w:jc w:val="center"/>
        <w:rPr>
          <w:rFonts w:ascii="Times New Roman" w:hAnsi="Times New Roman" w:cs="Times New Roman"/>
          <w:color w:val="000000"/>
          <w:sz w:val="24"/>
          <w:szCs w:val="24"/>
          <w:shd w:val="clear" w:color="auto" w:fill="FFFFFF"/>
        </w:rPr>
      </w:pPr>
      <w:r w:rsidRPr="00A339A5">
        <w:rPr>
          <w:rFonts w:ascii="Times New Roman" w:hAnsi="Times New Roman" w:cs="Times New Roman"/>
          <w:color w:val="000000"/>
          <w:sz w:val="24"/>
          <w:szCs w:val="24"/>
          <w:shd w:val="clear" w:color="auto" w:fill="FFFFFF"/>
          <w:vertAlign w:val="superscript"/>
        </w:rPr>
        <w:t>3</w:t>
      </w:r>
      <w:r>
        <w:rPr>
          <w:rFonts w:ascii="Times New Roman" w:hAnsi="Times New Roman" w:cs="Times New Roman"/>
          <w:color w:val="000000"/>
          <w:sz w:val="24"/>
          <w:szCs w:val="24"/>
          <w:shd w:val="clear" w:color="auto" w:fill="FFFFFF"/>
        </w:rPr>
        <w:t>Institute of Public Health, Tirana, Albania</w:t>
      </w:r>
    </w:p>
    <w:p w:rsidR="006C2E75" w:rsidRDefault="006C2E75" w:rsidP="006C2E75">
      <w:pPr>
        <w:shd w:val="clear" w:color="auto" w:fill="FFFFFF"/>
        <w:spacing w:after="0" w:line="240" w:lineRule="auto"/>
        <w:jc w:val="both"/>
        <w:rPr>
          <w:rFonts w:ascii="Times New Roman" w:eastAsia="Times New Roman" w:hAnsi="Times New Roman" w:cs="Times New Roman"/>
          <w:color w:val="232323"/>
          <w:sz w:val="24"/>
          <w:szCs w:val="24"/>
          <w:lang w:eastAsia="en-GB"/>
        </w:rPr>
      </w:pPr>
    </w:p>
    <w:p w:rsidR="006C2E75" w:rsidRDefault="006C2E75" w:rsidP="006C2E75">
      <w:pPr>
        <w:shd w:val="clear" w:color="auto" w:fill="FFFFFF"/>
        <w:spacing w:after="0" w:line="240" w:lineRule="auto"/>
        <w:jc w:val="both"/>
        <w:rPr>
          <w:rFonts w:ascii="Times New Roman" w:eastAsia="Times New Roman" w:hAnsi="Times New Roman" w:cs="Times New Roman"/>
          <w:color w:val="232323"/>
          <w:sz w:val="24"/>
          <w:szCs w:val="24"/>
          <w:lang w:eastAsia="en-GB"/>
        </w:rPr>
      </w:pPr>
    </w:p>
    <w:p w:rsidR="006C2E75" w:rsidRPr="006C2E75" w:rsidRDefault="006C2E75" w:rsidP="006C2E75">
      <w:pPr>
        <w:shd w:val="clear" w:color="auto" w:fill="FFFFFF"/>
        <w:spacing w:after="0" w:line="240" w:lineRule="auto"/>
        <w:ind w:firstLine="720"/>
        <w:jc w:val="both"/>
        <w:rPr>
          <w:rFonts w:ascii="Times New Roman" w:eastAsia="Times New Roman" w:hAnsi="Times New Roman" w:cs="Times New Roman"/>
          <w:color w:val="232323"/>
          <w:sz w:val="24"/>
          <w:szCs w:val="24"/>
          <w:lang w:eastAsia="en-GB"/>
        </w:rPr>
      </w:pPr>
      <w:r w:rsidRPr="006C2E75">
        <w:rPr>
          <w:rFonts w:ascii="Times New Roman" w:eastAsia="Times New Roman" w:hAnsi="Times New Roman" w:cs="Times New Roman"/>
          <w:color w:val="232323"/>
          <w:sz w:val="24"/>
          <w:szCs w:val="24"/>
          <w:lang w:eastAsia="en-GB"/>
        </w:rPr>
        <w:t xml:space="preserve">Developmental dysplasia of the hip (DDH) describes a spectrum of conditions related to the development of the hip in infants and young children. It encompasses abnormal development of the </w:t>
      </w:r>
      <w:proofErr w:type="spellStart"/>
      <w:r w:rsidRPr="006C2E75">
        <w:rPr>
          <w:rFonts w:ascii="Times New Roman" w:eastAsia="Times New Roman" w:hAnsi="Times New Roman" w:cs="Times New Roman"/>
          <w:color w:val="232323"/>
          <w:sz w:val="24"/>
          <w:szCs w:val="24"/>
          <w:lang w:eastAsia="en-GB"/>
        </w:rPr>
        <w:t>acetabulum</w:t>
      </w:r>
      <w:proofErr w:type="spellEnd"/>
      <w:r w:rsidRPr="006C2E75">
        <w:rPr>
          <w:rFonts w:ascii="Times New Roman" w:eastAsia="Times New Roman" w:hAnsi="Times New Roman" w:cs="Times New Roman"/>
          <w:color w:val="232323"/>
          <w:sz w:val="24"/>
          <w:szCs w:val="24"/>
          <w:lang w:eastAsia="en-GB"/>
        </w:rPr>
        <w:t xml:space="preserve"> and proximal femur and mechanical instability of the hip joint. Newborns often have physiologic laxity of the hip and immaturity of the </w:t>
      </w:r>
      <w:proofErr w:type="spellStart"/>
      <w:r w:rsidRPr="006C2E75">
        <w:rPr>
          <w:rFonts w:ascii="Times New Roman" w:eastAsia="Times New Roman" w:hAnsi="Times New Roman" w:cs="Times New Roman"/>
          <w:color w:val="232323"/>
          <w:sz w:val="24"/>
          <w:szCs w:val="24"/>
          <w:lang w:eastAsia="en-GB"/>
        </w:rPr>
        <w:t>acetabulum</w:t>
      </w:r>
      <w:proofErr w:type="spellEnd"/>
      <w:r w:rsidRPr="006C2E75">
        <w:rPr>
          <w:rFonts w:ascii="Times New Roman" w:eastAsia="Times New Roman" w:hAnsi="Times New Roman" w:cs="Times New Roman"/>
          <w:color w:val="232323"/>
          <w:sz w:val="24"/>
          <w:szCs w:val="24"/>
          <w:lang w:eastAsia="en-GB"/>
        </w:rPr>
        <w:t xml:space="preserve"> during the first few weeks of life. In most cases, the laxity resolves, and the </w:t>
      </w:r>
      <w:proofErr w:type="spellStart"/>
      <w:r w:rsidRPr="006C2E75">
        <w:rPr>
          <w:rFonts w:ascii="Times New Roman" w:eastAsia="Times New Roman" w:hAnsi="Times New Roman" w:cs="Times New Roman"/>
          <w:color w:val="232323"/>
          <w:sz w:val="24"/>
          <w:szCs w:val="24"/>
          <w:lang w:eastAsia="en-GB"/>
        </w:rPr>
        <w:t>acetabulum</w:t>
      </w:r>
      <w:proofErr w:type="spellEnd"/>
      <w:r w:rsidRPr="006C2E75">
        <w:rPr>
          <w:rFonts w:ascii="Times New Roman" w:eastAsia="Times New Roman" w:hAnsi="Times New Roman" w:cs="Times New Roman"/>
          <w:color w:val="232323"/>
          <w:sz w:val="24"/>
          <w:szCs w:val="24"/>
          <w:lang w:eastAsia="en-GB"/>
        </w:rPr>
        <w:t xml:space="preserve"> proceeds to develop normally. With assessment of risk factors, serial physical examination of the hips, and appropriate use of imaging studies, most children with pathologic hips can be correctly diagnosed and treated without long-term </w:t>
      </w:r>
      <w:proofErr w:type="spellStart"/>
      <w:r w:rsidRPr="006C2E75">
        <w:rPr>
          <w:rFonts w:ascii="Times New Roman" w:eastAsia="Times New Roman" w:hAnsi="Times New Roman" w:cs="Times New Roman"/>
          <w:color w:val="232323"/>
          <w:sz w:val="24"/>
          <w:szCs w:val="24"/>
          <w:lang w:eastAsia="en-GB"/>
        </w:rPr>
        <w:t>sequelae</w:t>
      </w:r>
      <w:proofErr w:type="spellEnd"/>
      <w:r w:rsidRPr="006C2E75">
        <w:rPr>
          <w:rFonts w:ascii="Times New Roman" w:eastAsia="Times New Roman" w:hAnsi="Times New Roman" w:cs="Times New Roman"/>
          <w:color w:val="232323"/>
          <w:sz w:val="24"/>
          <w:szCs w:val="24"/>
          <w:lang w:eastAsia="en-GB"/>
        </w:rPr>
        <w:t xml:space="preserve">.  Typical DDH, which generally occurs in otherwise healthy infants, also occur in association with other conditions. </w:t>
      </w:r>
      <w:r w:rsidRPr="006C2E75">
        <w:rPr>
          <w:rFonts w:ascii="Times New Roman" w:eastAsia="Times New Roman" w:hAnsi="Times New Roman" w:cs="Times New Roman"/>
          <w:color w:val="232323"/>
          <w:sz w:val="24"/>
          <w:szCs w:val="24"/>
          <w:lang w:eastAsia="en-GB"/>
        </w:rPr>
        <w:t>Despite serious long-term consequences for children</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with late diagnosis of DDH, best practice early screening</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techniques are debated with considerable variation in</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routine screening protocols internationally.</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Clinical screening of all neonatal hips is currently</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accepted as the most economic assessment of hips in</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many countries, with infants considered at risk of DDH or with</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 xml:space="preserve">hips demonstrating </w:t>
      </w:r>
      <w:proofErr w:type="spellStart"/>
      <w:r w:rsidRPr="006C2E75">
        <w:rPr>
          <w:rFonts w:ascii="Times New Roman" w:eastAsia="Times New Roman" w:hAnsi="Times New Roman" w:cs="Times New Roman"/>
          <w:color w:val="232323"/>
          <w:sz w:val="24"/>
          <w:szCs w:val="24"/>
          <w:lang w:eastAsia="en-GB"/>
        </w:rPr>
        <w:t>subluxation</w:t>
      </w:r>
      <w:proofErr w:type="spellEnd"/>
      <w:r w:rsidRPr="006C2E75">
        <w:rPr>
          <w:rFonts w:ascii="Times New Roman" w:eastAsia="Times New Roman" w:hAnsi="Times New Roman" w:cs="Times New Roman"/>
          <w:color w:val="232323"/>
          <w:sz w:val="24"/>
          <w:szCs w:val="24"/>
          <w:lang w:eastAsia="en-GB"/>
        </w:rPr>
        <w:t xml:space="preserve"> then undergoing Graf</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ultrasound examination at 6 weeks of age. Graf ultrasound</w:t>
      </w:r>
      <w:proofErr w:type="gramStart"/>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a</w:t>
      </w:r>
      <w:proofErr w:type="gramEnd"/>
      <w:r w:rsidRPr="006C2E75">
        <w:rPr>
          <w:rFonts w:ascii="Times New Roman" w:eastAsia="Times New Roman" w:hAnsi="Times New Roman" w:cs="Times New Roman"/>
          <w:color w:val="232323"/>
          <w:sz w:val="24"/>
          <w:szCs w:val="24"/>
          <w:lang w:eastAsia="en-GB"/>
        </w:rPr>
        <w:t xml:space="preserve"> morphological assessment of the infant hip,</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 xml:space="preserve">measures the angle of the roof of the </w:t>
      </w:r>
      <w:proofErr w:type="spellStart"/>
      <w:r w:rsidRPr="006C2E75">
        <w:rPr>
          <w:rFonts w:ascii="Times New Roman" w:eastAsia="Times New Roman" w:hAnsi="Times New Roman" w:cs="Times New Roman"/>
          <w:color w:val="232323"/>
          <w:sz w:val="24"/>
          <w:szCs w:val="24"/>
          <w:lang w:eastAsia="en-GB"/>
        </w:rPr>
        <w:t>acetabulum</w:t>
      </w:r>
      <w:proofErr w:type="spellEnd"/>
      <w:r w:rsidRPr="006C2E75">
        <w:rPr>
          <w:rFonts w:ascii="Times New Roman" w:eastAsia="Times New Roman" w:hAnsi="Times New Roman" w:cs="Times New Roman"/>
          <w:color w:val="232323"/>
          <w:sz w:val="24"/>
          <w:szCs w:val="24"/>
          <w:lang w:eastAsia="en-GB"/>
        </w:rPr>
        <w:t xml:space="preserve"> (alpha</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angle) and the percentage cover of the femoral head. It</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classifies hips as: mature, immature, or dislocated. The</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wide range in the Graf measurements prior to 6 weeks</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 xml:space="preserve">makes it an unreliable </w:t>
      </w:r>
      <w:r w:rsidRPr="006C2E75">
        <w:rPr>
          <w:rFonts w:ascii="Times New Roman" w:eastAsia="Times New Roman" w:hAnsi="Times New Roman" w:cs="Times New Roman"/>
          <w:color w:val="232323"/>
          <w:sz w:val="24"/>
          <w:szCs w:val="24"/>
          <w:lang w:eastAsia="en-GB"/>
        </w:rPr>
        <w:t>screening tool in early infancy.</w:t>
      </w:r>
    </w:p>
    <w:p w:rsidR="007F2812" w:rsidRPr="006C2E75" w:rsidRDefault="006C2E75" w:rsidP="006C2E75">
      <w:pPr>
        <w:spacing w:line="240" w:lineRule="auto"/>
        <w:jc w:val="both"/>
        <w:rPr>
          <w:rFonts w:ascii="Times New Roman" w:eastAsia="Times New Roman" w:hAnsi="Times New Roman" w:cs="Times New Roman"/>
          <w:color w:val="232323"/>
          <w:sz w:val="24"/>
          <w:szCs w:val="24"/>
          <w:lang w:eastAsia="en-GB"/>
        </w:rPr>
      </w:pPr>
      <w:r w:rsidRPr="006C2E75">
        <w:rPr>
          <w:rFonts w:ascii="Times New Roman" w:eastAsia="Times New Roman" w:hAnsi="Times New Roman" w:cs="Times New Roman"/>
          <w:color w:val="232323"/>
          <w:sz w:val="24"/>
          <w:szCs w:val="24"/>
          <w:lang w:eastAsia="en-GB"/>
        </w:rPr>
        <w:t>Clinical screening for DDH relies on detection of hip</w:t>
      </w:r>
      <w:r w:rsidRPr="006C2E75">
        <w:rPr>
          <w:rFonts w:ascii="Times New Roman" w:eastAsia="Times New Roman" w:hAnsi="Times New Roman" w:cs="Times New Roman"/>
          <w:color w:val="232323"/>
          <w:sz w:val="24"/>
          <w:szCs w:val="24"/>
          <w:lang w:eastAsia="en-GB"/>
        </w:rPr>
        <w:t xml:space="preserve"> </w:t>
      </w:r>
      <w:proofErr w:type="spellStart"/>
      <w:r w:rsidRPr="006C2E75">
        <w:rPr>
          <w:rFonts w:ascii="Times New Roman" w:eastAsia="Times New Roman" w:hAnsi="Times New Roman" w:cs="Times New Roman"/>
          <w:color w:val="232323"/>
          <w:sz w:val="24"/>
          <w:szCs w:val="24"/>
          <w:lang w:eastAsia="en-GB"/>
        </w:rPr>
        <w:t>subluxation</w:t>
      </w:r>
      <w:proofErr w:type="spellEnd"/>
      <w:r w:rsidRPr="006C2E75">
        <w:rPr>
          <w:rFonts w:ascii="Times New Roman" w:eastAsia="Times New Roman" w:hAnsi="Times New Roman" w:cs="Times New Roman"/>
          <w:color w:val="232323"/>
          <w:sz w:val="24"/>
          <w:szCs w:val="24"/>
          <w:lang w:eastAsia="en-GB"/>
        </w:rPr>
        <w:t xml:space="preserve"> or dislocation soon after birth using Barlow</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 xml:space="preserve">or </w:t>
      </w:r>
      <w:proofErr w:type="spellStart"/>
      <w:r w:rsidRPr="006C2E75">
        <w:rPr>
          <w:rFonts w:ascii="Times New Roman" w:eastAsia="Times New Roman" w:hAnsi="Times New Roman" w:cs="Times New Roman"/>
          <w:color w:val="232323"/>
          <w:sz w:val="24"/>
          <w:szCs w:val="24"/>
          <w:lang w:eastAsia="en-GB"/>
        </w:rPr>
        <w:t>Ortolani</w:t>
      </w:r>
      <w:proofErr w:type="spellEnd"/>
      <w:r w:rsidRPr="006C2E75">
        <w:rPr>
          <w:rFonts w:ascii="Times New Roman" w:eastAsia="Times New Roman" w:hAnsi="Times New Roman" w:cs="Times New Roman"/>
          <w:color w:val="232323"/>
          <w:sz w:val="24"/>
          <w:szCs w:val="24"/>
          <w:lang w:eastAsia="en-GB"/>
        </w:rPr>
        <w:t xml:space="preserve"> methods and is experience-dependent with</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skilled, trained and experienced operators more reliably</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performing the procedure</w:t>
      </w:r>
      <w:r w:rsidRPr="006C2E75">
        <w:rPr>
          <w:rFonts w:ascii="Times New Roman" w:eastAsia="Times New Roman" w:hAnsi="Times New Roman" w:cs="Times New Roman"/>
          <w:color w:val="232323"/>
          <w:sz w:val="24"/>
          <w:szCs w:val="24"/>
          <w:lang w:eastAsia="en-GB"/>
        </w:rPr>
        <w:t>.</w:t>
      </w:r>
      <w:r w:rsidRPr="006C2E75">
        <w:rPr>
          <w:rFonts w:ascii="Times New Roman" w:hAnsi="Times New Roman" w:cs="Times New Roman"/>
          <w:sz w:val="24"/>
          <w:szCs w:val="24"/>
        </w:rPr>
        <w:t xml:space="preserve"> Systematic reviews suggest that r</w:t>
      </w:r>
      <w:r w:rsidRPr="006C2E75">
        <w:rPr>
          <w:rFonts w:ascii="Times New Roman" w:eastAsia="Times New Roman" w:hAnsi="Times New Roman" w:cs="Times New Roman"/>
          <w:color w:val="232323"/>
          <w:sz w:val="24"/>
          <w:szCs w:val="24"/>
          <w:lang w:eastAsia="en-GB"/>
        </w:rPr>
        <w:t xml:space="preserve">outine screening with </w:t>
      </w:r>
      <w:r w:rsidRPr="006C2E75">
        <w:rPr>
          <w:rFonts w:ascii="Times New Roman" w:eastAsia="Times New Roman" w:hAnsi="Times New Roman" w:cs="Times New Roman"/>
          <w:color w:val="232323"/>
          <w:sz w:val="24"/>
          <w:szCs w:val="24"/>
          <w:lang w:eastAsia="en-GB"/>
        </w:rPr>
        <w:t xml:space="preserve">dynamic </w:t>
      </w:r>
      <w:proofErr w:type="spellStart"/>
      <w:r w:rsidRPr="006C2E75">
        <w:rPr>
          <w:rFonts w:ascii="Times New Roman" w:eastAsia="Times New Roman" w:hAnsi="Times New Roman" w:cs="Times New Roman"/>
          <w:color w:val="232323"/>
          <w:sz w:val="24"/>
          <w:szCs w:val="24"/>
          <w:lang w:eastAsia="en-GB"/>
        </w:rPr>
        <w:t>ultrasoun</w:t>
      </w:r>
      <w:proofErr w:type="spellEnd"/>
      <w:r w:rsidRPr="006C2E75">
        <w:rPr>
          <w:rFonts w:ascii="Times New Roman" w:eastAsia="Times New Roman" w:hAnsi="Times New Roman" w:cs="Times New Roman"/>
          <w:color w:val="232323"/>
          <w:sz w:val="24"/>
          <w:szCs w:val="24"/>
          <w:lang w:eastAsia="en-GB"/>
        </w:rPr>
        <w:t xml:space="preserve"> may be more</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economically viable as portable ultrasound machines</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become more affordable and are further incorporated</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 xml:space="preserve">into contemporary clinical </w:t>
      </w:r>
      <w:proofErr w:type="gramStart"/>
      <w:r w:rsidRPr="006C2E75">
        <w:rPr>
          <w:rFonts w:ascii="Times New Roman" w:eastAsia="Times New Roman" w:hAnsi="Times New Roman" w:cs="Times New Roman"/>
          <w:color w:val="232323"/>
          <w:sz w:val="24"/>
          <w:szCs w:val="24"/>
          <w:lang w:eastAsia="en-GB"/>
        </w:rPr>
        <w:t xml:space="preserve">practice </w:t>
      </w:r>
      <w:r w:rsidRPr="006C2E75">
        <w:rPr>
          <w:rFonts w:ascii="Times New Roman" w:eastAsia="Times New Roman" w:hAnsi="Times New Roman" w:cs="Times New Roman"/>
          <w:color w:val="232323"/>
          <w:sz w:val="24"/>
          <w:szCs w:val="24"/>
          <w:lang w:eastAsia="en-GB"/>
        </w:rPr>
        <w:t xml:space="preserve"> </w:t>
      </w:r>
      <w:r w:rsidRPr="006C2E75">
        <w:rPr>
          <w:rFonts w:ascii="Times New Roman" w:eastAsia="Times New Roman" w:hAnsi="Times New Roman" w:cs="Times New Roman"/>
          <w:color w:val="232323"/>
          <w:sz w:val="24"/>
          <w:szCs w:val="24"/>
          <w:lang w:eastAsia="en-GB"/>
        </w:rPr>
        <w:t>internationally</w:t>
      </w:r>
      <w:proofErr w:type="gramEnd"/>
      <w:r w:rsidRPr="006C2E75">
        <w:rPr>
          <w:rFonts w:ascii="Times New Roman" w:eastAsia="Times New Roman" w:hAnsi="Times New Roman" w:cs="Times New Roman"/>
          <w:color w:val="232323"/>
          <w:sz w:val="24"/>
          <w:szCs w:val="24"/>
          <w:lang w:eastAsia="en-GB"/>
        </w:rPr>
        <w:t>.</w:t>
      </w:r>
    </w:p>
    <w:sectPr w:rsidR="007F2812" w:rsidRPr="006C2E75" w:rsidSect="007F28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6C2E75"/>
    <w:rsid w:val="005E3DB7"/>
    <w:rsid w:val="006C2E75"/>
    <w:rsid w:val="007F2812"/>
    <w:rsid w:val="00C51D8D"/>
    <w:rsid w:val="00D509B1"/>
    <w:rsid w:val="00DB48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E75"/>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350</Words>
  <Characters>1995</Characters>
  <Application>Microsoft Office Word</Application>
  <DocSecurity>0</DocSecurity>
  <Lines>16</Lines>
  <Paragraphs>4</Paragraphs>
  <ScaleCrop>false</ScaleCrop>
  <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Artani</dc:creator>
  <cp:lastModifiedBy>Artani</cp:lastModifiedBy>
  <cp:revision>3</cp:revision>
  <dcterms:created xsi:type="dcterms:W3CDTF">2020-02-24T06:34:00Z</dcterms:created>
  <dcterms:modified xsi:type="dcterms:W3CDTF">2020-02-24T06:45:00Z</dcterms:modified>
</cp:coreProperties>
</file>