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p>
    <w:p>
      <w:pPr>
        <w:pStyle w:val="Body"/>
        <w:bidi w:val="0"/>
        <w:sectPr>
          <w:headerReference w:type="default" r:id="rId4"/>
          <w:footerReference w:type="default" r:id="rId5"/>
          <w:pgSz w:w="12240" w:h="15840" w:orient="portrait"/>
          <w:pgMar w:top="1440" w:right="1440" w:bottom="1440" w:left="1440" w:header="720" w:footer="864"/>
          <w:bidi w:val="0"/>
        </w:sectPr>
      </w:pPr>
    </w:p>
    <w:p>
      <w:pPr>
        <w:pStyle w:val="Body"/>
        <w:ind w:left="785"/>
        <w:jc w:val="left"/>
        <w:rPr>
          <w:rFonts w:ascii="Arial" w:cs="Arial" w:hAnsi="Arial" w:eastAsia="Arial"/>
          <w:sz w:val="24"/>
          <w:szCs w:val="24"/>
        </w:rPr>
      </w:pPr>
      <w:r>
        <w:rPr>
          <w:rFonts w:ascii="Arial" w:hAnsi="Arial"/>
          <w:sz w:val="24"/>
          <w:szCs w:val="24"/>
          <w:rtl w:val="0"/>
        </w:rPr>
        <w:t xml:space="preserve">Title: </w:t>
      </w:r>
      <w:r>
        <w:rPr>
          <w:rFonts w:ascii="Arial" w:hAnsi="Arial"/>
          <w:sz w:val="24"/>
          <w:szCs w:val="24"/>
          <w:rtl w:val="0"/>
          <w:lang w:val="de-DE"/>
        </w:rPr>
        <w:t>END-STAGE RENAL DISEASE WITH</w:t>
      </w:r>
      <w:r>
        <w:rPr>
          <w:rFonts w:ascii="Arial" w:hAnsi="Arial"/>
          <w:sz w:val="24"/>
          <w:szCs w:val="24"/>
          <w:rtl w:val="0"/>
        </w:rPr>
        <w:t xml:space="preserve"> E</w:t>
      </w:r>
      <w:r>
        <w:rPr>
          <w:rFonts w:ascii="Arial" w:hAnsi="Arial"/>
          <w:sz w:val="24"/>
          <w:szCs w:val="24"/>
          <w:rtl w:val="0"/>
          <w:lang w:val="de-DE"/>
        </w:rPr>
        <w:t>RYTHROCYTOSIS:  A Case  Report  on  a  Rare  Association  of  Crescentic  Glomerulonephritis  and   JAK2-Positive  Polycythemia  Vera</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r>
        <w:rPr>
          <w:rFonts w:ascii="Arial" w:hAnsi="Arial"/>
          <w:sz w:val="24"/>
          <w:szCs w:val="24"/>
          <w:rtl w:val="0"/>
        </w:rPr>
        <w:t>*</w:t>
      </w:r>
      <w:r>
        <w:rPr>
          <w:rFonts w:ascii="Arial" w:hAnsi="Arial"/>
          <w:sz w:val="24"/>
          <w:szCs w:val="24"/>
          <w:rtl w:val="0"/>
          <w:lang w:val="it-IT"/>
        </w:rPr>
        <w:t>Gale  Rizzae  B.  Mercado,  MD</w:t>
      </w:r>
      <w:r>
        <w:rPr>
          <w:rFonts w:ascii="Arial" w:hAnsi="Arial"/>
          <w:sz w:val="24"/>
          <w:szCs w:val="24"/>
          <w:rtl w:val="0"/>
        </w:rPr>
        <w:t>,  **</w:t>
      </w:r>
      <w:r>
        <w:rPr>
          <w:rFonts w:ascii="Arial" w:hAnsi="Arial"/>
          <w:sz w:val="24"/>
          <w:szCs w:val="24"/>
          <w:rtl w:val="0"/>
          <w:lang w:val="de-DE"/>
        </w:rPr>
        <w:t>Eratosthenes  S.  Polito,  MD</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r>
        <w:rPr>
          <w:rFonts w:ascii="Arial" w:hAnsi="Arial"/>
          <w:sz w:val="24"/>
          <w:szCs w:val="24"/>
          <w:rtl w:val="0"/>
        </w:rPr>
        <w:t>*</w:t>
      </w:r>
      <w:r>
        <w:rPr>
          <w:rFonts w:ascii="Arial" w:hAnsi="Arial"/>
          <w:sz w:val="24"/>
          <w:szCs w:val="24"/>
          <w:rtl w:val="0"/>
        </w:rPr>
        <w:t xml:space="preserve">Internal Medicine  Resident  in  Training  Year  Level-1, Perpetual  Succour  Hospital,  Cebu  City,  Cebu </w:t>
      </w:r>
    </w:p>
    <w:p>
      <w:pPr>
        <w:pStyle w:val="Body"/>
        <w:ind w:left="785"/>
        <w:jc w:val="both"/>
        <w:rPr>
          <w:rFonts w:ascii="Arial" w:cs="Arial" w:hAnsi="Arial" w:eastAsia="Arial"/>
          <w:sz w:val="24"/>
          <w:szCs w:val="24"/>
        </w:rPr>
      </w:pPr>
      <w:r>
        <w:rPr>
          <w:rFonts w:ascii="Arial" w:hAnsi="Arial"/>
          <w:sz w:val="24"/>
          <w:szCs w:val="24"/>
          <w:rtl w:val="0"/>
          <w:lang w:val="en-US"/>
        </w:rPr>
        <w:t xml:space="preserve">**Nephrology Fellow-in-Training  Year  Level-1,  Perpetual Succour  Hospital,  Cebu  City,  Cebu </w:t>
      </w:r>
    </w:p>
    <w:p>
      <w:pPr>
        <w:pStyle w:val="Body"/>
        <w:ind w:left="785"/>
        <w:jc w:val="both"/>
        <w:rPr>
          <w:rFonts w:ascii="Arial" w:cs="Arial" w:hAnsi="Arial" w:eastAsia="Arial"/>
          <w:sz w:val="24"/>
          <w:szCs w:val="24"/>
        </w:rPr>
      </w:pPr>
      <w:r>
        <w:rPr>
          <w:rFonts w:ascii="Arial" w:hAnsi="Arial"/>
          <w:sz w:val="24"/>
          <w:szCs w:val="24"/>
          <w:rtl w:val="0"/>
        </w:rPr>
        <w:t xml:space="preserve">                       </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r>
        <w:rPr>
          <w:rFonts w:ascii="Arial" w:hAnsi="Arial"/>
          <w:sz w:val="24"/>
          <w:szCs w:val="24"/>
          <w:rtl w:val="0"/>
          <w:lang w:val="en-US"/>
        </w:rPr>
        <w:t>Keywords:  Erythrocytosis;  polycythemia  vera;  crescentic  glomerulonephritis;  end-stage  renal  disease</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p>
    <w:p>
      <w:pPr>
        <w:pStyle w:val="Body"/>
        <w:ind w:left="785"/>
        <w:jc w:val="both"/>
        <w:rPr>
          <w:rFonts w:ascii="Arial" w:cs="Arial" w:hAnsi="Arial" w:eastAsia="Arial"/>
          <w:b w:val="1"/>
          <w:bCs w:val="1"/>
          <w:sz w:val="24"/>
          <w:szCs w:val="24"/>
        </w:rPr>
      </w:pPr>
      <w:r>
        <w:rPr>
          <w:rFonts w:ascii="Arial" w:hAnsi="Arial"/>
          <w:b w:val="1"/>
          <w:bCs w:val="1"/>
          <w:sz w:val="24"/>
          <w:szCs w:val="24"/>
          <w:rtl w:val="0"/>
        </w:rPr>
        <w:t>I. ABSTRACT</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r>
        <w:rPr>
          <w:rFonts w:ascii="Arial" w:hAnsi="Arial"/>
          <w:sz w:val="24"/>
          <w:szCs w:val="24"/>
          <w:rtl w:val="0"/>
          <w:lang w:val="en-US"/>
        </w:rPr>
        <w:t xml:space="preserve">The  occurrence  of  glomerulonephritis  in  patients  with  primary  polycythemia  vera  is  clinically  rare.  To date,  there  are  only  23  related  cases  published  with  only  1  case  of  renal  failure  identified  resulting  from  rapidly progressive  glomerulonephritis.  We  present  a  case  on  simultaneous  occurrence  of  primary  polycythemia  vera  and rapidly  progressive  glomerulonephritis  in  a  69  year-old  man  who  came  in  with  gross  hematuria,  sterile  pyuria  and renal  failure.  The  occurrence  of  glomerulonephritis  in  patients  with  polycythemia  vera  remains  unclear,  it  may  be a  comorbidity  or  etiologically  linked,  either  by  common  pathogenesis,  or  a  complication.  More  clinical  evidence is  required  to  confirm  the  causal  relationship.  Since  the  predictor  of  outcome  in  patients  with  crescentic glomerulonephritis  is  the  severity  of  renal  failure  at  the  time  of  therapy,  diagnosis  should  be  prompt  and  accurate to  which  in  this  case  renal  biopsy  was  done  and  appropriate  therapy  such  as  immunosuppressive  agents  were instituted  and  eventual  renal  replacement  therapy.   </w:t>
      </w:r>
    </w:p>
    <w:p>
      <w:pPr>
        <w:pStyle w:val="Body"/>
        <w:ind w:left="785"/>
        <w:jc w:val="both"/>
        <w:rPr>
          <w:rFonts w:ascii="Arial" w:cs="Arial" w:hAnsi="Arial" w:eastAsia="Arial"/>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r>
        <w:rPr>
          <w:rFonts w:ascii="Arial" w:hAnsi="Arial"/>
          <w:b w:val="1"/>
          <w:bCs w:val="1"/>
          <w:sz w:val="24"/>
          <w:szCs w:val="24"/>
          <w:rtl w:val="0"/>
        </w:rPr>
        <w:t>II. IMAGE</w:t>
      </w:r>
      <w:r>
        <w:rPr>
          <w:rFonts w:ascii="Arial" w:cs="Arial" w:hAnsi="Arial" w:eastAsia="Arial"/>
          <w:b w:val="1"/>
          <w:bCs w:val="1"/>
          <w:sz w:val="24"/>
          <w:szCs w:val="24"/>
        </w:rPr>
        <w:drawing>
          <wp:anchor distT="152400" distB="152400" distL="152400" distR="152400" simplePos="0" relativeHeight="251659264" behindDoc="0" locked="0" layoutInCell="1" allowOverlap="1">
            <wp:simplePos x="0" y="0"/>
            <wp:positionH relativeFrom="margin">
              <wp:posOffset>371145</wp:posOffset>
            </wp:positionH>
            <wp:positionV relativeFrom="line">
              <wp:posOffset>182353</wp:posOffset>
            </wp:positionV>
            <wp:extent cx="2502875" cy="1981735"/>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B9C35C3D-83D2-4E5C-A442-33C75EDF558A-L0-001.jpeg"/>
                    <pic:cNvPicPr>
                      <a:picLocks noChangeAspect="1"/>
                    </pic:cNvPicPr>
                  </pic:nvPicPr>
                  <pic:blipFill>
                    <a:blip r:embed="rId6">
                      <a:extLst/>
                    </a:blip>
                    <a:stretch>
                      <a:fillRect/>
                    </a:stretch>
                  </pic:blipFill>
                  <pic:spPr>
                    <a:xfrm>
                      <a:off x="0" y="0"/>
                      <a:ext cx="2502875" cy="1981735"/>
                    </a:xfrm>
                    <a:prstGeom prst="rect">
                      <a:avLst/>
                    </a:prstGeom>
                    <a:ln w="12700" cap="flat">
                      <a:noFill/>
                      <a:miter lim="400000"/>
                    </a:ln>
                    <a:effectLst/>
                  </pic:spPr>
                </pic:pic>
              </a:graphicData>
            </a:graphic>
          </wp:anchor>
        </w:drawing>
      </w:r>
      <w:r>
        <w:rPr>
          <w:rFonts w:ascii="Arial" w:cs="Arial" w:hAnsi="Arial" w:eastAsia="Arial"/>
          <w:b w:val="1"/>
          <w:bCs w:val="1"/>
          <w:sz w:val="24"/>
          <w:szCs w:val="24"/>
        </w:rPr>
        <w:drawing>
          <wp:anchor distT="152400" distB="152400" distL="152400" distR="152400" simplePos="0" relativeHeight="251660288" behindDoc="0" locked="0" layoutInCell="1" allowOverlap="1">
            <wp:simplePos x="0" y="0"/>
            <wp:positionH relativeFrom="margin">
              <wp:posOffset>3566602</wp:posOffset>
            </wp:positionH>
            <wp:positionV relativeFrom="line">
              <wp:posOffset>181448</wp:posOffset>
            </wp:positionV>
            <wp:extent cx="2557100" cy="1983545"/>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4078B6D1-C38C-446A-B31F-BAAD913DEA41-L0-001.jpeg"/>
                    <pic:cNvPicPr>
                      <a:picLocks noChangeAspect="1"/>
                    </pic:cNvPicPr>
                  </pic:nvPicPr>
                  <pic:blipFill>
                    <a:blip r:embed="rId7">
                      <a:extLst/>
                    </a:blip>
                    <a:stretch>
                      <a:fillRect/>
                    </a:stretch>
                  </pic:blipFill>
                  <pic:spPr>
                    <a:xfrm>
                      <a:off x="0" y="0"/>
                      <a:ext cx="2557100" cy="1983545"/>
                    </a:xfrm>
                    <a:prstGeom prst="rect">
                      <a:avLst/>
                    </a:prstGeom>
                    <a:ln w="12700" cap="flat">
                      <a:noFill/>
                      <a:miter lim="400000"/>
                    </a:ln>
                    <a:effectLst/>
                  </pic:spPr>
                </pic:pic>
              </a:graphicData>
            </a:graphic>
          </wp:anchor>
        </w:drawing>
      </w: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r>
        <w:rPr>
          <w:rFonts w:ascii="Arial" w:hAnsi="Arial"/>
          <w:b w:val="1"/>
          <w:bCs w:val="1"/>
          <w:sz w:val="24"/>
          <w:szCs w:val="24"/>
          <w:rtl w:val="0"/>
        </w:rPr>
        <w:t>III. REFERENCES</w:t>
      </w:r>
    </w:p>
    <w:p>
      <w:pPr>
        <w:pStyle w:val="Body"/>
        <w:ind w:left="785"/>
        <w:jc w:val="both"/>
        <w:rPr>
          <w:rFonts w:ascii="Arial" w:cs="Arial" w:hAnsi="Arial" w:eastAsia="Arial"/>
          <w:b w:val="1"/>
          <w:bCs w:val="1"/>
          <w:sz w:val="24"/>
          <w:szCs w:val="24"/>
        </w:rPr>
      </w:pPr>
    </w:p>
    <w:p>
      <w:pPr>
        <w:pStyle w:val="Body"/>
        <w:numPr>
          <w:ilvl w:val="3"/>
          <w:numId w:val="2"/>
        </w:numPr>
        <w:jc w:val="both"/>
        <w:rPr>
          <w:rFonts w:ascii="Arial" w:cs="Arial" w:hAnsi="Arial" w:eastAsia="Arial"/>
          <w:sz w:val="24"/>
          <w:szCs w:val="24"/>
          <w:lang w:val="de-DE"/>
        </w:rPr>
      </w:pPr>
      <w:r>
        <w:rPr>
          <w:rFonts w:ascii="Arial" w:hAnsi="Arial"/>
          <w:sz w:val="24"/>
          <w:szCs w:val="24"/>
          <w:rtl w:val="0"/>
          <w:lang w:val="de-DE"/>
        </w:rPr>
        <w:t xml:space="preserve"> Kasper,  D.  (2015).  Harrisons  Principles  of Internal  Medicine.  New  York.  McGraw  Hill Education.  </w:t>
      </w:r>
    </w:p>
    <w:p>
      <w:pPr>
        <w:pStyle w:val="Body"/>
        <w:numPr>
          <w:ilvl w:val="3"/>
          <w:numId w:val="2"/>
        </w:numPr>
        <w:jc w:val="both"/>
        <w:rPr>
          <w:rFonts w:ascii="Arial" w:cs="Arial" w:hAnsi="Arial" w:eastAsia="Arial"/>
          <w:sz w:val="24"/>
          <w:szCs w:val="24"/>
          <w:lang w:val="en-US"/>
        </w:rPr>
      </w:pPr>
      <w:r>
        <w:rPr>
          <w:rFonts w:ascii="Arial" w:hAnsi="Arial"/>
          <w:sz w:val="24"/>
          <w:szCs w:val="24"/>
          <w:rtl w:val="0"/>
          <w:lang w:val="en-US"/>
        </w:rPr>
        <w:t>Ohyashiki  JH,  Fujieda  H,  Ohyashiki  K,  Toyama K.  Correction  of  anemia  by  recombinant  human erythropoietin  in  a  patient  with  polycythemia  vera associated  with  hemodialysis</w:t>
      </w:r>
      <w:r>
        <w:rPr>
          <w:rFonts w:ascii="Arial Unicode MS" w:cs="Arial Unicode MS" w:hAnsi="Arial Unicode MS" w:eastAsia="Arial Unicode MS" w:hint="default"/>
          <w:b w:val="0"/>
          <w:bCs w:val="0"/>
          <w:i w:val="0"/>
          <w:iCs w:val="0"/>
          <w:sz w:val="24"/>
          <w:szCs w:val="24"/>
          <w:rtl w:val="0"/>
        </w:rPr>
        <w:t>‐</w:t>
      </w:r>
      <w:r>
        <w:rPr>
          <w:rFonts w:ascii="Arial" w:hAnsi="Arial"/>
          <w:sz w:val="24"/>
          <w:szCs w:val="24"/>
          <w:rtl w:val="0"/>
        </w:rPr>
        <w:t>dependent  chronic renal  failure.  Am  J  Hematol  1991;  37:  141</w:t>
      </w:r>
      <w:r>
        <w:rPr>
          <w:rFonts w:ascii="Arial" w:hAnsi="Arial" w:hint="default"/>
          <w:sz w:val="24"/>
          <w:szCs w:val="24"/>
          <w:rtl w:val="0"/>
        </w:rPr>
        <w:t>–</w:t>
      </w:r>
      <w:r>
        <w:rPr>
          <w:rFonts w:ascii="Arial" w:hAnsi="Arial"/>
          <w:sz w:val="24"/>
          <w:szCs w:val="24"/>
          <w:rtl w:val="0"/>
        </w:rPr>
        <w:t xml:space="preserve">142   </w:t>
      </w:r>
    </w:p>
    <w:p>
      <w:pPr>
        <w:pStyle w:val="Body"/>
        <w:numPr>
          <w:ilvl w:val="3"/>
          <w:numId w:val="2"/>
        </w:numPr>
        <w:jc w:val="both"/>
        <w:rPr>
          <w:rFonts w:ascii="Arial" w:cs="Arial" w:hAnsi="Arial" w:eastAsia="Arial"/>
          <w:sz w:val="24"/>
          <w:szCs w:val="24"/>
          <w:lang w:val="en-US"/>
        </w:rPr>
      </w:pPr>
      <w:r>
        <w:rPr>
          <w:rFonts w:ascii="Arial" w:hAnsi="Arial"/>
          <w:sz w:val="24"/>
          <w:szCs w:val="24"/>
          <w:rtl w:val="0"/>
          <w:lang w:val="en-US"/>
        </w:rPr>
        <w:t xml:space="preserve">Greenhall  G.,  Salama  A:  What  is  new  in  the management of rapidly progressive glomerulonephritis.  Clinical  Kidney  Journal.  2015 Apr;  8(2):  143-150. </w:t>
      </w: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p>
    <w:p>
      <w:pPr>
        <w:pStyle w:val="Body"/>
        <w:ind w:left="785"/>
        <w:jc w:val="both"/>
        <w:rPr>
          <w:rFonts w:ascii="Arial" w:cs="Arial" w:hAnsi="Arial" w:eastAsia="Arial"/>
          <w:b w:val="1"/>
          <w:bCs w:val="1"/>
          <w:sz w:val="24"/>
          <w:szCs w:val="24"/>
        </w:rPr>
      </w:pPr>
      <w:r>
        <w:rPr>
          <w:rFonts w:ascii="Arial" w:hAnsi="Arial"/>
          <w:b w:val="1"/>
          <w:bCs w:val="1"/>
          <w:sz w:val="24"/>
          <w:szCs w:val="24"/>
          <w:rtl w:val="0"/>
        </w:rPr>
        <w:t xml:space="preserve">IV.  </w:t>
      </w:r>
      <w:r>
        <w:rPr>
          <w:rFonts w:ascii="Arial" w:hAnsi="Arial"/>
          <w:b w:val="1"/>
          <w:bCs w:val="1"/>
          <w:sz w:val="24"/>
          <w:szCs w:val="24"/>
          <w:rtl w:val="0"/>
        </w:rPr>
        <w:t>A</w:t>
      </w:r>
      <w:r>
        <w:rPr>
          <w:rFonts w:ascii="Arial" w:hAnsi="Arial"/>
          <w:b w:val="1"/>
          <w:bCs w:val="1"/>
          <w:sz w:val="24"/>
          <w:szCs w:val="24"/>
          <w:rtl w:val="0"/>
        </w:rPr>
        <w:t>UTHOR DETAILS</w:t>
      </w:r>
    </w:p>
    <w:p>
      <w:pPr>
        <w:pStyle w:val="Body"/>
        <w:ind w:left="785"/>
        <w:jc w:val="both"/>
        <w:rPr>
          <w:rFonts w:ascii="Arial" w:cs="Arial" w:hAnsi="Arial" w:eastAsia="Arial"/>
          <w:sz w:val="24"/>
          <w:szCs w:val="24"/>
        </w:rPr>
      </w:pPr>
      <w:r>
        <w:rPr>
          <w:rFonts w:ascii="Arial" w:hAnsi="Arial"/>
          <w:sz w:val="24"/>
          <w:szCs w:val="24"/>
          <w:rtl w:val="0"/>
        </w:rPr>
        <w:t>Gale</w:t>
      </w:r>
      <w:r>
        <w:rPr>
          <w:rFonts w:ascii="Arial" w:hAnsi="Arial"/>
          <w:sz w:val="24"/>
          <w:szCs w:val="24"/>
          <w:rtl w:val="0"/>
          <w:lang w:val="it-IT"/>
        </w:rPr>
        <w:t xml:space="preserve"> Rizzae  B.  Mercado,  MD;  Internal Medicine  Resident  in  Training  Year  Level-1, Perpetual  Succour  Hospital,  Cebu  City,  Cebu </w:t>
      </w:r>
    </w:p>
    <w:p>
      <w:pPr>
        <w:pStyle w:val="Body"/>
        <w:ind w:left="785"/>
        <w:jc w:val="both"/>
        <w:rPr>
          <w:rFonts w:ascii="Arial" w:cs="Arial" w:hAnsi="Arial" w:eastAsia="Arial"/>
          <w:sz w:val="24"/>
          <w:szCs w:val="24"/>
        </w:rPr>
      </w:pPr>
    </w:p>
    <w:p>
      <w:pPr>
        <w:pStyle w:val="Body"/>
        <w:ind w:left="785"/>
        <w:jc w:val="both"/>
        <w:rPr>
          <w:rFonts w:ascii="Arial" w:cs="Arial" w:hAnsi="Arial" w:eastAsia="Arial"/>
          <w:sz w:val="24"/>
          <w:szCs w:val="24"/>
        </w:rPr>
      </w:pPr>
      <w:r>
        <w:rPr>
          <w:rFonts w:ascii="Arial" w:hAnsi="Arial"/>
          <w:sz w:val="24"/>
          <w:szCs w:val="24"/>
          <w:rtl w:val="0"/>
        </w:rPr>
        <w:t xml:space="preserve">Co- Author </w:t>
      </w:r>
      <w:r>
        <w:rPr>
          <w:rFonts w:ascii="Arial" w:hAnsi="Arial"/>
          <w:sz w:val="24"/>
          <w:szCs w:val="24"/>
          <w:rtl w:val="0"/>
          <w:lang w:val="en-US"/>
        </w:rPr>
        <w:t>Eratosthenes  S.  Polito,  MD;  Nephrology Fellow-in-Training  Year  Level-1,  Perpetual Succour  Hospital,  Cebu  City,  Cebu</w:t>
      </w:r>
      <w:r>
        <w:rPr>
          <w:rFonts w:ascii="Arial" w:cs="Arial" w:hAnsi="Arial" w:eastAsia="Arial"/>
          <w:sz w:val="24"/>
          <w:szCs w:val="24"/>
        </w:rPr>
        <w:drawing>
          <wp:anchor distT="152400" distB="152400" distL="152400" distR="152400" simplePos="0" relativeHeight="251661312" behindDoc="0" locked="0" layoutInCell="1" allowOverlap="1">
            <wp:simplePos x="0" y="0"/>
            <wp:positionH relativeFrom="margin">
              <wp:posOffset>477524</wp:posOffset>
            </wp:positionH>
            <wp:positionV relativeFrom="line">
              <wp:posOffset>217814</wp:posOffset>
            </wp:positionV>
            <wp:extent cx="530964" cy="743349"/>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B633CF66-2DB1-4BDC-A6E3-31B2FAC29702-L0-001.jpeg"/>
                    <pic:cNvPicPr>
                      <a:picLocks noChangeAspect="1"/>
                    </pic:cNvPicPr>
                  </pic:nvPicPr>
                  <pic:blipFill>
                    <a:blip r:embed="rId8">
                      <a:extLst/>
                    </a:blip>
                    <a:stretch>
                      <a:fillRect/>
                    </a:stretch>
                  </pic:blipFill>
                  <pic:spPr>
                    <a:xfrm>
                      <a:off x="0" y="0"/>
                      <a:ext cx="530964" cy="743349"/>
                    </a:xfrm>
                    <a:prstGeom prst="rect">
                      <a:avLst/>
                    </a:prstGeom>
                    <a:ln w="12700" cap="flat">
                      <a:noFill/>
                      <a:miter lim="400000"/>
                    </a:ln>
                    <a:effectLst/>
                  </pic:spPr>
                </pic:pic>
              </a:graphicData>
            </a:graphic>
          </wp:anchor>
        </w:drawing>
      </w:r>
      <w:r>
        <w:rPr>
          <w:rFonts w:ascii="Arial" w:hAnsi="Arial"/>
          <w:sz w:val="24"/>
          <w:szCs w:val="24"/>
          <w:rtl w:val="0"/>
        </w:rPr>
        <w:t xml:space="preserve"> </w:t>
      </w:r>
    </w:p>
    <w:p>
      <w:pPr>
        <w:pStyle w:val="Body"/>
        <w:ind w:left="785"/>
        <w:jc w:val="both"/>
        <w:rPr>
          <w:rFonts w:ascii="Arial" w:cs="Arial" w:hAnsi="Arial" w:eastAsia="Arial"/>
          <w:sz w:val="24"/>
          <w:szCs w:val="24"/>
        </w:rPr>
      </w:pPr>
    </w:p>
    <w:p>
      <w:pPr>
        <w:pStyle w:val="Default"/>
        <w:bidi w:val="0"/>
        <w:ind w:left="785" w:right="0" w:firstLine="0"/>
        <w:jc w:val="both"/>
        <w:rPr>
          <w:rFonts w:ascii="Arial" w:cs="Arial" w:hAnsi="Arial" w:eastAsia="Arial"/>
          <w:sz w:val="24"/>
          <w:szCs w:val="24"/>
          <w:rtl w:val="0"/>
        </w:rPr>
      </w:pPr>
      <w:r>
        <w:rPr>
          <w:rFonts w:ascii="Arial" w:hAnsi="Arial"/>
          <w:sz w:val="24"/>
          <w:szCs w:val="24"/>
          <w:rtl w:val="0"/>
          <w:lang w:val="en-US"/>
        </w:rPr>
        <w:t>Full name:</w:t>
      </w:r>
      <w:r>
        <w:rPr>
          <w:rFonts w:ascii="Arial" w:hAnsi="Arial"/>
          <w:sz w:val="24"/>
          <w:szCs w:val="24"/>
          <w:rtl w:val="0"/>
        </w:rPr>
        <w:t xml:space="preserve"> Gale Rizzae B. Mercado</w:t>
      </w:r>
    </w:p>
    <w:p>
      <w:pPr>
        <w:pStyle w:val="Default"/>
        <w:bidi w:val="0"/>
        <w:ind w:left="785" w:right="0" w:firstLine="0"/>
        <w:jc w:val="both"/>
        <w:rPr>
          <w:rFonts w:ascii="Arial" w:cs="Arial" w:hAnsi="Arial" w:eastAsia="Arial"/>
          <w:sz w:val="24"/>
          <w:szCs w:val="24"/>
          <w:rtl w:val="0"/>
        </w:rPr>
      </w:pPr>
      <w:r>
        <w:rPr>
          <w:rFonts w:ascii="Arial" w:hAnsi="Arial"/>
          <w:sz w:val="24"/>
          <w:szCs w:val="24"/>
          <w:rtl w:val="0"/>
          <w:lang w:val="en-US"/>
        </w:rPr>
        <w:t>Contact number:</w:t>
      </w:r>
      <w:r>
        <w:rPr>
          <w:rFonts w:ascii="Arial" w:hAnsi="Arial"/>
          <w:sz w:val="24"/>
          <w:szCs w:val="24"/>
          <w:rtl w:val="0"/>
        </w:rPr>
        <w:t xml:space="preserve"> 09175823285</w:t>
      </w:r>
    </w:p>
    <w:p>
      <w:pPr>
        <w:pStyle w:val="Default"/>
        <w:bidi w:val="0"/>
        <w:ind w:left="785" w:right="0" w:firstLine="0"/>
        <w:jc w:val="both"/>
        <w:rPr>
          <w:rFonts w:ascii="Arial" w:cs="Arial" w:hAnsi="Arial" w:eastAsia="Arial"/>
          <w:sz w:val="24"/>
          <w:szCs w:val="24"/>
          <w:rtl w:val="0"/>
        </w:rPr>
      </w:pPr>
      <w:r>
        <w:rPr>
          <w:rFonts w:ascii="Arial" w:hAnsi="Arial"/>
          <w:sz w:val="24"/>
          <w:szCs w:val="24"/>
          <w:rtl w:val="0"/>
          <w:lang w:val="en-US"/>
        </w:rPr>
        <w:t>Twitter account:</w:t>
      </w:r>
      <w:r>
        <w:rPr>
          <w:rFonts w:ascii="Arial" w:hAnsi="Arial"/>
          <w:sz w:val="24"/>
          <w:szCs w:val="24"/>
          <w:rtl w:val="0"/>
        </w:rPr>
        <w:t xml:space="preserve"> galerizzae</w:t>
      </w:r>
    </w:p>
    <w:p>
      <w:pPr>
        <w:pStyle w:val="Default"/>
        <w:bidi w:val="0"/>
        <w:ind w:left="785" w:right="0" w:firstLine="0"/>
        <w:jc w:val="both"/>
        <w:rPr>
          <w:rtl w:val="0"/>
        </w:rPr>
      </w:pPr>
      <w:r>
        <w:rPr>
          <w:rFonts w:ascii="Arial" w:hAnsi="Arial"/>
          <w:sz w:val="24"/>
          <w:szCs w:val="24"/>
          <w:rtl w:val="0"/>
          <w:lang w:val="it-IT"/>
        </w:rPr>
        <w:t>Category: Poster presentation</w:t>
      </w:r>
    </w:p>
    <w:sectPr>
      <w:type w:val="continuous"/>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numbering" w:styleId="Numbered">
    <w:name w:val="Numb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