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C8A" w:rsidRPr="00C32C8A" w:rsidRDefault="00C32C8A" w:rsidP="00C32C8A">
      <w:pPr>
        <w:widowControl w:val="0"/>
        <w:tabs>
          <w:tab w:val="left" w:pos="1031"/>
          <w:tab w:val="left" w:pos="7470"/>
          <w:tab w:val="left" w:pos="8730"/>
        </w:tabs>
        <w:autoSpaceDE w:val="0"/>
        <w:autoSpaceDN w:val="0"/>
        <w:adjustRightInd w:val="0"/>
        <w:spacing w:line="480" w:lineRule="auto"/>
        <w:rPr>
          <w:rFonts w:ascii="Times New Roman" w:hAnsi="Times New Roman"/>
          <w:b/>
          <w:color w:val="000000" w:themeColor="text1"/>
          <w:sz w:val="28"/>
          <w:szCs w:val="28"/>
        </w:rPr>
      </w:pPr>
      <w:r w:rsidRPr="00C32C8A">
        <w:rPr>
          <w:rFonts w:ascii="Times New Roman" w:hAnsi="Times New Roman"/>
          <w:b/>
          <w:color w:val="000000" w:themeColor="text1"/>
          <w:sz w:val="28"/>
          <w:szCs w:val="28"/>
        </w:rPr>
        <w:t xml:space="preserve">Prevalence and associated factors of Protein- Energy wasting among patients with Chronic Kidney Disease at </w:t>
      </w:r>
      <w:proofErr w:type="spellStart"/>
      <w:r w:rsidRPr="00C32C8A">
        <w:rPr>
          <w:rFonts w:ascii="Times New Roman" w:hAnsi="Times New Roman"/>
          <w:b/>
          <w:color w:val="000000" w:themeColor="text1"/>
          <w:sz w:val="28"/>
          <w:szCs w:val="28"/>
        </w:rPr>
        <w:t>Mulago</w:t>
      </w:r>
      <w:proofErr w:type="spellEnd"/>
      <w:r w:rsidRPr="00C32C8A">
        <w:rPr>
          <w:rFonts w:ascii="Times New Roman" w:hAnsi="Times New Roman"/>
          <w:b/>
          <w:color w:val="000000" w:themeColor="text1"/>
          <w:sz w:val="28"/>
          <w:szCs w:val="28"/>
        </w:rPr>
        <w:t xml:space="preserve"> Hospital, Kampala-Uganda: A cross-sectional study</w:t>
      </w:r>
    </w:p>
    <w:p w:rsidR="00C32C8A" w:rsidRPr="00C32C8A" w:rsidRDefault="00C32C8A" w:rsidP="00C32C8A">
      <w:pPr>
        <w:tabs>
          <w:tab w:val="left" w:pos="7470"/>
        </w:tabs>
        <w:spacing w:line="480" w:lineRule="auto"/>
        <w:rPr>
          <w:rFonts w:ascii="Times New Roman" w:hAnsi="Times New Roman"/>
          <w:b/>
          <w:color w:val="000000" w:themeColor="text1"/>
          <w:sz w:val="24"/>
          <w:szCs w:val="24"/>
        </w:rPr>
      </w:pPr>
      <w:r w:rsidRPr="00C32C8A">
        <w:rPr>
          <w:rFonts w:ascii="Times New Roman" w:hAnsi="Times New Roman"/>
          <w:b/>
          <w:color w:val="000000" w:themeColor="text1"/>
          <w:sz w:val="24"/>
          <w:szCs w:val="24"/>
        </w:rPr>
        <w:t>ABSTRACT</w:t>
      </w:r>
      <w:r w:rsidRPr="00C32C8A">
        <w:rPr>
          <w:rFonts w:ascii="Times New Roman" w:hAnsi="Times New Roman"/>
          <w:b/>
          <w:color w:val="000000" w:themeColor="text1"/>
          <w:sz w:val="24"/>
          <w:szCs w:val="24"/>
        </w:rPr>
        <w:tab/>
      </w:r>
    </w:p>
    <w:p w:rsidR="00C32C8A" w:rsidRPr="00C32C8A" w:rsidRDefault="00C32C8A" w:rsidP="00C32C8A">
      <w:pPr>
        <w:spacing w:line="480" w:lineRule="auto"/>
        <w:jc w:val="both"/>
        <w:rPr>
          <w:rFonts w:ascii="Times New Roman" w:hAnsi="Times New Roman"/>
          <w:color w:val="000000" w:themeColor="text1"/>
          <w:sz w:val="24"/>
          <w:szCs w:val="24"/>
        </w:rPr>
      </w:pPr>
      <w:r w:rsidRPr="00C32C8A">
        <w:rPr>
          <w:rFonts w:ascii="Times New Roman" w:hAnsi="Times New Roman"/>
          <w:b/>
          <w:color w:val="000000" w:themeColor="text1"/>
          <w:sz w:val="24"/>
          <w:szCs w:val="24"/>
        </w:rPr>
        <w:t xml:space="preserve">Background: </w:t>
      </w:r>
      <w:r w:rsidRPr="00C32C8A">
        <w:rPr>
          <w:rFonts w:ascii="Times New Roman" w:hAnsi="Times New Roman"/>
          <w:color w:val="000000" w:themeColor="text1"/>
          <w:sz w:val="24"/>
          <w:szCs w:val="24"/>
        </w:rPr>
        <w:t>Chronic kidney disease (CKD) is global health concern and priority. It is the 12</w:t>
      </w:r>
      <w:r w:rsidRPr="00C32C8A">
        <w:rPr>
          <w:rFonts w:ascii="Times New Roman" w:hAnsi="Times New Roman"/>
          <w:color w:val="000000" w:themeColor="text1"/>
          <w:sz w:val="24"/>
          <w:szCs w:val="24"/>
          <w:vertAlign w:val="superscript"/>
        </w:rPr>
        <w:t>th</w:t>
      </w:r>
      <w:r w:rsidRPr="00C32C8A">
        <w:rPr>
          <w:rFonts w:ascii="Times New Roman" w:hAnsi="Times New Roman"/>
          <w:color w:val="000000" w:themeColor="text1"/>
          <w:sz w:val="24"/>
          <w:szCs w:val="24"/>
        </w:rPr>
        <w:t xml:space="preserve"> leading cause of death worldwide. Protein Energy Wasting occurs in </w:t>
      </w:r>
      <w:r w:rsidRPr="00C32C8A">
        <w:rPr>
          <w:rFonts w:ascii="Times New Roman" w:hAnsi="Times New Roman" w:cs="Times New Roman"/>
          <w:color w:val="000000" w:themeColor="text1"/>
          <w:sz w:val="24"/>
          <w:szCs w:val="24"/>
        </w:rPr>
        <w:t>≥</w:t>
      </w:r>
      <w:r w:rsidRPr="00C32C8A">
        <w:rPr>
          <w:rFonts w:ascii="Times New Roman" w:hAnsi="Times New Roman"/>
          <w:color w:val="000000" w:themeColor="text1"/>
          <w:sz w:val="24"/>
          <w:szCs w:val="24"/>
        </w:rPr>
        <w:t xml:space="preserve">20-25% of patients with chronic kidney disease and can lead to a high morbidity and mortality rate. We determined the prevalence of protein energy wasting and factors associated among patients with chronic kidney disease at </w:t>
      </w:r>
      <w:proofErr w:type="spellStart"/>
      <w:r w:rsidRPr="00C32C8A">
        <w:rPr>
          <w:rFonts w:ascii="Times New Roman" w:hAnsi="Times New Roman"/>
          <w:color w:val="000000" w:themeColor="text1"/>
          <w:sz w:val="24"/>
          <w:szCs w:val="24"/>
        </w:rPr>
        <w:t>Mulago</w:t>
      </w:r>
      <w:proofErr w:type="spellEnd"/>
      <w:r w:rsidRPr="00C32C8A">
        <w:rPr>
          <w:rFonts w:ascii="Times New Roman" w:hAnsi="Times New Roman"/>
          <w:color w:val="000000" w:themeColor="text1"/>
          <w:sz w:val="24"/>
          <w:szCs w:val="24"/>
        </w:rPr>
        <w:t xml:space="preserve"> National Referral Hospital, Kampala, Uganda.</w:t>
      </w:r>
    </w:p>
    <w:p w:rsidR="00C32C8A" w:rsidRPr="00C32C8A" w:rsidRDefault="00C32C8A" w:rsidP="00C32C8A">
      <w:pPr>
        <w:spacing w:line="480" w:lineRule="auto"/>
        <w:jc w:val="both"/>
        <w:rPr>
          <w:rFonts w:ascii="Times New Roman" w:hAnsi="Times New Roman"/>
          <w:color w:val="000000" w:themeColor="text1"/>
          <w:sz w:val="24"/>
          <w:szCs w:val="24"/>
        </w:rPr>
      </w:pPr>
      <w:r w:rsidRPr="00C32C8A">
        <w:rPr>
          <w:rFonts w:ascii="Times New Roman" w:hAnsi="Times New Roman"/>
          <w:b/>
          <w:color w:val="000000" w:themeColor="text1"/>
          <w:sz w:val="24"/>
          <w:szCs w:val="24"/>
        </w:rPr>
        <w:t xml:space="preserve">Methods: </w:t>
      </w:r>
      <w:r w:rsidRPr="00C32C8A">
        <w:rPr>
          <w:rFonts w:ascii="Times New Roman" w:hAnsi="Times New Roman"/>
          <w:color w:val="000000" w:themeColor="text1"/>
          <w:sz w:val="24"/>
          <w:szCs w:val="24"/>
        </w:rPr>
        <w:t xml:space="preserve">We conducted a cross-sectional study recruiting 182 (89 non-CKD patients and 93 CKD patients) consecutively from the outpatient clinic and wards on New </w:t>
      </w:r>
      <w:proofErr w:type="spellStart"/>
      <w:r w:rsidRPr="00C32C8A">
        <w:rPr>
          <w:rFonts w:ascii="Times New Roman" w:hAnsi="Times New Roman"/>
          <w:color w:val="000000" w:themeColor="text1"/>
          <w:sz w:val="24"/>
          <w:szCs w:val="24"/>
        </w:rPr>
        <w:t>Mulago</w:t>
      </w:r>
      <w:proofErr w:type="spellEnd"/>
      <w:r w:rsidRPr="00C32C8A">
        <w:rPr>
          <w:rFonts w:ascii="Times New Roman" w:hAnsi="Times New Roman"/>
          <w:color w:val="000000" w:themeColor="text1"/>
          <w:sz w:val="24"/>
          <w:szCs w:val="24"/>
        </w:rPr>
        <w:t xml:space="preserve"> Hospital complex. We took anthropometric measurements including heights, weights, Triceps skin fold (TSF), Mid- Upper Arm circumference (MUAC), Body Mass Index (BMI) and Mid-arm muscle circumference (MAMC). Serum albumin levels and lipid profile levels were also obtained. Following consent of study participants, Data was collected using questionnaires and analyzed using STATA 14.1. Percentages, frequencies, means, medians, standard deviation and </w:t>
      </w:r>
      <w:proofErr w:type="spellStart"/>
      <w:r w:rsidRPr="00C32C8A">
        <w:rPr>
          <w:rFonts w:ascii="Times New Roman" w:hAnsi="Times New Roman"/>
          <w:color w:val="000000" w:themeColor="text1"/>
          <w:sz w:val="24"/>
          <w:szCs w:val="24"/>
        </w:rPr>
        <w:t>interquantile</w:t>
      </w:r>
      <w:proofErr w:type="spellEnd"/>
      <w:r w:rsidRPr="00C32C8A">
        <w:rPr>
          <w:rFonts w:ascii="Times New Roman" w:hAnsi="Times New Roman"/>
          <w:color w:val="000000" w:themeColor="text1"/>
          <w:sz w:val="24"/>
          <w:szCs w:val="24"/>
        </w:rPr>
        <w:t xml:space="preserve"> range were used to </w:t>
      </w:r>
      <w:proofErr w:type="spellStart"/>
      <w:r w:rsidRPr="00C32C8A">
        <w:rPr>
          <w:rFonts w:ascii="Times New Roman" w:hAnsi="Times New Roman"/>
          <w:color w:val="000000" w:themeColor="text1"/>
          <w:sz w:val="24"/>
          <w:szCs w:val="24"/>
        </w:rPr>
        <w:t>summarise</w:t>
      </w:r>
      <w:proofErr w:type="spellEnd"/>
      <w:r w:rsidRPr="00C32C8A">
        <w:rPr>
          <w:rFonts w:ascii="Times New Roman" w:hAnsi="Times New Roman"/>
          <w:color w:val="000000" w:themeColor="text1"/>
          <w:sz w:val="24"/>
          <w:szCs w:val="24"/>
        </w:rPr>
        <w:t xml:space="preserve"> data. Crude and adjusted binary logistic regression was performed to assess unadjusted and adjusted effect measures of protein energy wasting due to several factors. Stratification by CKD status was performed during the analysis to minimize confounding.  </w:t>
      </w:r>
    </w:p>
    <w:p w:rsidR="00C32C8A" w:rsidRPr="00C32C8A" w:rsidRDefault="00C32C8A" w:rsidP="00C32C8A">
      <w:pPr>
        <w:spacing w:line="480" w:lineRule="auto"/>
        <w:rPr>
          <w:rFonts w:ascii="Times New Roman" w:hAnsi="Times New Roman"/>
          <w:b/>
          <w:color w:val="000000" w:themeColor="text1"/>
        </w:rPr>
      </w:pPr>
      <w:r w:rsidRPr="00C32C8A">
        <w:rPr>
          <w:rFonts w:ascii="Times New Roman" w:hAnsi="Times New Roman"/>
          <w:b/>
          <w:color w:val="000000" w:themeColor="text1"/>
          <w:sz w:val="24"/>
          <w:szCs w:val="24"/>
        </w:rPr>
        <w:t xml:space="preserve">Results: </w:t>
      </w:r>
      <w:r w:rsidRPr="00C32C8A">
        <w:rPr>
          <w:rFonts w:ascii="Times New Roman" w:hAnsi="Times New Roman"/>
          <w:color w:val="000000" w:themeColor="text1"/>
        </w:rPr>
        <w:t xml:space="preserve">The median age for CKD patients was 39 years compared to 27 years for non-CKD participants (p&lt;0.001). The prevalence of protein energy wasting (PEW) was 68.6 % in this study with 47.3% and </w:t>
      </w:r>
      <w:r w:rsidRPr="00C32C8A">
        <w:rPr>
          <w:rFonts w:ascii="Times New Roman" w:hAnsi="Times New Roman"/>
          <w:color w:val="000000" w:themeColor="text1"/>
        </w:rPr>
        <w:lastRenderedPageBreak/>
        <w:t xml:space="preserve">21.3% among CKD and non-CKD participants respectively. </w:t>
      </w:r>
      <w:r w:rsidRPr="00C32C8A">
        <w:rPr>
          <w:rFonts w:ascii="Times New Roman" w:hAnsi="Times New Roman"/>
          <w:color w:val="000000" w:themeColor="text1"/>
          <w:sz w:val="24"/>
          <w:szCs w:val="24"/>
        </w:rPr>
        <w:t xml:space="preserve">Factors which were associated with PEW included CKD age between 18-24, being single, catholic religion, CKD stage 4, </w:t>
      </w:r>
      <w:proofErr w:type="spellStart"/>
      <w:r w:rsidRPr="00C32C8A">
        <w:rPr>
          <w:rFonts w:ascii="Times New Roman" w:hAnsi="Times New Roman"/>
          <w:color w:val="000000" w:themeColor="text1"/>
          <w:sz w:val="24"/>
          <w:szCs w:val="24"/>
        </w:rPr>
        <w:t>Hb</w:t>
      </w:r>
      <w:proofErr w:type="spellEnd"/>
      <w:r w:rsidRPr="00C32C8A">
        <w:rPr>
          <w:rFonts w:ascii="Times New Roman" w:hAnsi="Times New Roman"/>
          <w:color w:val="000000" w:themeColor="text1"/>
          <w:sz w:val="24"/>
          <w:szCs w:val="24"/>
        </w:rPr>
        <w:t xml:space="preserve">&lt;11.5 g/dl and LDL&gt;160mg/dl. </w:t>
      </w:r>
      <w:r w:rsidRPr="00C32C8A">
        <w:rPr>
          <w:rFonts w:ascii="Times New Roman" w:hAnsi="Times New Roman"/>
          <w:color w:val="000000" w:themeColor="text1"/>
        </w:rPr>
        <w:t xml:space="preserve"> </w:t>
      </w:r>
    </w:p>
    <w:p w:rsidR="00C32C8A" w:rsidRPr="00C32C8A" w:rsidRDefault="00C32C8A" w:rsidP="00C32C8A">
      <w:pPr>
        <w:spacing w:line="480" w:lineRule="auto"/>
        <w:jc w:val="both"/>
        <w:rPr>
          <w:rFonts w:ascii="Times New Roman" w:hAnsi="Times New Roman"/>
          <w:color w:val="000000" w:themeColor="text1"/>
          <w:sz w:val="24"/>
          <w:szCs w:val="24"/>
        </w:rPr>
      </w:pPr>
      <w:r w:rsidRPr="00C32C8A">
        <w:rPr>
          <w:rFonts w:ascii="Times New Roman" w:hAnsi="Times New Roman"/>
          <w:b/>
          <w:color w:val="000000" w:themeColor="text1"/>
          <w:sz w:val="24"/>
          <w:szCs w:val="24"/>
        </w:rPr>
        <w:t xml:space="preserve">Conclusion: </w:t>
      </w:r>
      <w:r w:rsidRPr="00C32C8A">
        <w:rPr>
          <w:rFonts w:ascii="Times New Roman" w:hAnsi="Times New Roman"/>
          <w:color w:val="000000" w:themeColor="text1"/>
          <w:sz w:val="24"/>
          <w:szCs w:val="24"/>
        </w:rPr>
        <w:t>Protein energy Wasting is prevalent among patients with chronic kidney disease and clinicians should routinely screen for it during patient care.</w:t>
      </w:r>
    </w:p>
    <w:p w:rsidR="005D1CEA" w:rsidRPr="00C32C8A" w:rsidRDefault="005D1CEA">
      <w:pPr>
        <w:rPr>
          <w:color w:val="000000" w:themeColor="text1"/>
        </w:rPr>
      </w:pPr>
    </w:p>
    <w:sectPr w:rsidR="005D1CEA" w:rsidRPr="00C32C8A" w:rsidSect="005D1CE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32C8A"/>
    <w:rsid w:val="005D1CEA"/>
    <w:rsid w:val="00C32C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C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dc:creator>
  <cp:lastModifiedBy>lydia</cp:lastModifiedBy>
  <cp:revision>1</cp:revision>
  <dcterms:created xsi:type="dcterms:W3CDTF">2018-10-11T18:28:00Z</dcterms:created>
  <dcterms:modified xsi:type="dcterms:W3CDTF">2018-10-11T18:39:00Z</dcterms:modified>
</cp:coreProperties>
</file>