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4DB" w:rsidRDefault="005644DB" w:rsidP="00864BFD">
      <w:pPr>
        <w:ind w:firstLine="567"/>
        <w:jc w:val="center"/>
        <w:rPr>
          <w:rFonts w:ascii="Times New Roman" w:eastAsiaTheme="minorHAnsi" w:hAnsi="Times New Roman" w:cs="Times New Roman"/>
          <w:b/>
          <w:bCs/>
          <w:color w:val="000000"/>
          <w:szCs w:val="24"/>
          <w:lang w:val="en-GB" w:eastAsia="en-US"/>
        </w:rPr>
      </w:pPr>
      <w:r>
        <w:rPr>
          <w:rFonts w:ascii="Times New Roman" w:eastAsiaTheme="minorHAnsi" w:hAnsi="Times New Roman" w:cs="Times New Roman"/>
          <w:b/>
          <w:bCs/>
          <w:color w:val="000000"/>
          <w:szCs w:val="24"/>
          <w:lang w:val="en-GB" w:eastAsia="en-US"/>
        </w:rPr>
        <w:t xml:space="preserve">Study of certain genetic polymorphisms of </w:t>
      </w:r>
      <w:proofErr w:type="spellStart"/>
      <w:r>
        <w:rPr>
          <w:rFonts w:ascii="Times New Roman" w:eastAsiaTheme="minorHAnsi" w:hAnsi="Times New Roman" w:cs="Times New Roman"/>
          <w:b/>
          <w:bCs/>
          <w:color w:val="000000"/>
          <w:szCs w:val="24"/>
          <w:lang w:val="en-GB" w:eastAsia="en-US"/>
        </w:rPr>
        <w:t>folate</w:t>
      </w:r>
      <w:proofErr w:type="spellEnd"/>
      <w:r>
        <w:rPr>
          <w:rFonts w:ascii="Times New Roman" w:eastAsiaTheme="minorHAnsi" w:hAnsi="Times New Roman" w:cs="Times New Roman"/>
          <w:b/>
          <w:bCs/>
          <w:color w:val="000000"/>
          <w:szCs w:val="24"/>
          <w:lang w:val="en-GB" w:eastAsia="en-US"/>
        </w:rPr>
        <w:t xml:space="preserve"> and ho</w:t>
      </w:r>
      <w:r w:rsidR="00864BFD">
        <w:rPr>
          <w:rFonts w:ascii="Times New Roman" w:eastAsiaTheme="minorHAnsi" w:hAnsi="Times New Roman" w:cs="Times New Roman"/>
          <w:b/>
          <w:bCs/>
          <w:color w:val="000000"/>
          <w:szCs w:val="24"/>
          <w:lang w:val="en-GB" w:eastAsia="en-US"/>
        </w:rPr>
        <w:t>mocysteine metabolism and neural tube defects</w:t>
      </w:r>
    </w:p>
    <w:p w:rsidR="00864BFD" w:rsidRDefault="00864BFD" w:rsidP="00864BFD">
      <w:pPr>
        <w:ind w:firstLine="567"/>
        <w:jc w:val="center"/>
        <w:rPr>
          <w:rFonts w:ascii="Times New Roman" w:eastAsiaTheme="minorHAnsi" w:hAnsi="Times New Roman" w:cs="Times New Roman"/>
          <w:b/>
          <w:bCs/>
          <w:color w:val="000000"/>
          <w:szCs w:val="24"/>
          <w:lang w:val="en-GB" w:eastAsia="en-US"/>
        </w:rPr>
      </w:pPr>
    </w:p>
    <w:p w:rsidR="00EF5339" w:rsidRPr="004D0334" w:rsidRDefault="00EF5339" w:rsidP="00EF5339">
      <w:pPr>
        <w:ind w:firstLine="567"/>
        <w:jc w:val="both"/>
        <w:rPr>
          <w:rFonts w:cstheme="majorBidi"/>
          <w:sz w:val="22"/>
          <w:lang w:val="en-GB"/>
        </w:rPr>
      </w:pPr>
      <w:r w:rsidRPr="004D0334">
        <w:rPr>
          <w:sz w:val="22"/>
          <w:lang w:val="en-GB"/>
        </w:rPr>
        <w:t xml:space="preserve">Neural tube defects (NTDs) represent a major cause of infant mortality among congenital malformations whose pathogenesis remains poorly understood. </w:t>
      </w:r>
      <w:r w:rsidRPr="004D0334">
        <w:rPr>
          <w:rFonts w:cstheme="majorBidi"/>
          <w:sz w:val="22"/>
          <w:lang w:val="en-GB"/>
        </w:rPr>
        <w:t xml:space="preserve">In this study realized on an Algerian population, we investigated the frequency of many polymorphisms involved in the of </w:t>
      </w:r>
      <w:proofErr w:type="spellStart"/>
      <w:r w:rsidRPr="004D0334">
        <w:rPr>
          <w:rFonts w:cstheme="majorBidi"/>
          <w:sz w:val="22"/>
          <w:lang w:val="en-GB"/>
        </w:rPr>
        <w:t>folate</w:t>
      </w:r>
      <w:proofErr w:type="spellEnd"/>
      <w:r w:rsidRPr="004D0334">
        <w:rPr>
          <w:rFonts w:cstheme="majorBidi"/>
          <w:sz w:val="22"/>
          <w:lang w:val="en-GB"/>
        </w:rPr>
        <w:t xml:space="preserve"> / homocysteine metabolism, </w:t>
      </w:r>
      <w:proofErr w:type="gramStart"/>
      <w:r w:rsidRPr="004D0334">
        <w:rPr>
          <w:rFonts w:cstheme="majorBidi"/>
          <w:sz w:val="22"/>
          <w:lang w:val="en-GB"/>
        </w:rPr>
        <w:t>Their</w:t>
      </w:r>
      <w:proofErr w:type="gramEnd"/>
      <w:r w:rsidRPr="004D0334">
        <w:rPr>
          <w:rFonts w:cstheme="majorBidi"/>
          <w:sz w:val="22"/>
          <w:lang w:val="en-GB"/>
        </w:rPr>
        <w:t xml:space="preserve"> possible contribution in the </w:t>
      </w:r>
      <w:proofErr w:type="spellStart"/>
      <w:r w:rsidRPr="004D0334">
        <w:rPr>
          <w:rFonts w:cstheme="majorBidi"/>
          <w:sz w:val="22"/>
          <w:lang w:val="en-GB"/>
        </w:rPr>
        <w:t>etiology</w:t>
      </w:r>
      <w:proofErr w:type="spellEnd"/>
      <w:r w:rsidRPr="004D0334">
        <w:rPr>
          <w:rFonts w:cstheme="majorBidi"/>
          <w:sz w:val="22"/>
          <w:lang w:val="en-GB"/>
        </w:rPr>
        <w:t xml:space="preserve"> of NTDs, as well as their influence on </w:t>
      </w:r>
      <w:proofErr w:type="spellStart"/>
      <w:r w:rsidRPr="004D0334">
        <w:rPr>
          <w:rFonts w:cstheme="majorBidi"/>
          <w:sz w:val="22"/>
          <w:lang w:val="en-GB"/>
        </w:rPr>
        <w:t>folate</w:t>
      </w:r>
      <w:proofErr w:type="spellEnd"/>
      <w:r w:rsidRPr="004D0334">
        <w:rPr>
          <w:rFonts w:cstheme="majorBidi"/>
          <w:sz w:val="22"/>
          <w:lang w:val="en-GB"/>
        </w:rPr>
        <w:t xml:space="preserve"> and homocysteine concentrations.</w:t>
      </w:r>
    </w:p>
    <w:p w:rsidR="00EF5339" w:rsidRPr="004D0334" w:rsidRDefault="00EF5339" w:rsidP="00EF5339">
      <w:pPr>
        <w:ind w:firstLine="567"/>
        <w:jc w:val="both"/>
        <w:rPr>
          <w:sz w:val="22"/>
          <w:lang w:val="en-GB"/>
        </w:rPr>
      </w:pPr>
      <w:r w:rsidRPr="004D0334">
        <w:rPr>
          <w:sz w:val="22"/>
          <w:lang w:val="en-GB"/>
        </w:rPr>
        <w:t xml:space="preserve">The study </w:t>
      </w:r>
      <w:proofErr w:type="gramStart"/>
      <w:r w:rsidRPr="004D0334">
        <w:rPr>
          <w:sz w:val="22"/>
          <w:lang w:val="en-GB"/>
        </w:rPr>
        <w:t>involved  children</w:t>
      </w:r>
      <w:proofErr w:type="gramEnd"/>
      <w:r w:rsidRPr="004D0334">
        <w:rPr>
          <w:sz w:val="22"/>
          <w:lang w:val="en-GB"/>
        </w:rPr>
        <w:t xml:space="preserve"> with NTD, mothers who had a child with NTD and a control population. The mutations were determined by the PCR / RFLP method while the assay of the biochemical parameters was performed by </w:t>
      </w:r>
      <w:proofErr w:type="spellStart"/>
      <w:r w:rsidRPr="004D0334">
        <w:rPr>
          <w:sz w:val="22"/>
          <w:lang w:val="en-GB"/>
        </w:rPr>
        <w:t>chemiluminescence</w:t>
      </w:r>
      <w:proofErr w:type="spellEnd"/>
      <w:r w:rsidRPr="004D0334">
        <w:rPr>
          <w:sz w:val="22"/>
          <w:lang w:val="en-GB"/>
        </w:rPr>
        <w:t>.</w:t>
      </w:r>
    </w:p>
    <w:p w:rsidR="00EF5339" w:rsidRPr="004D0334" w:rsidRDefault="00EF5339" w:rsidP="006231BF">
      <w:pPr>
        <w:autoSpaceDE w:val="0"/>
        <w:autoSpaceDN w:val="0"/>
        <w:adjustRightInd w:val="0"/>
        <w:ind w:firstLine="567"/>
        <w:jc w:val="both"/>
        <w:rPr>
          <w:rFonts w:cstheme="majorBidi"/>
          <w:bCs/>
          <w:sz w:val="22"/>
          <w:lang w:val="en-GB"/>
        </w:rPr>
      </w:pPr>
      <w:r w:rsidRPr="004D0334">
        <w:rPr>
          <w:rStyle w:val="shorttext"/>
          <w:sz w:val="22"/>
          <w:lang w:val="en-GB"/>
        </w:rPr>
        <w:t xml:space="preserve">The analysis of genetic polymorphisms </w:t>
      </w:r>
      <w:r w:rsidR="006231BF" w:rsidRPr="004D0334">
        <w:rPr>
          <w:rStyle w:val="shorttext"/>
          <w:sz w:val="22"/>
          <w:lang w:val="en-GB"/>
        </w:rPr>
        <w:t xml:space="preserve">has shown that </w:t>
      </w:r>
      <w:r w:rsidRPr="004D0334">
        <w:rPr>
          <w:rFonts w:cstheme="majorBidi"/>
          <w:sz w:val="22"/>
          <w:lang w:val="en-US"/>
        </w:rPr>
        <w:t xml:space="preserve">C677T </w:t>
      </w:r>
      <w:r>
        <w:rPr>
          <w:rFonts w:cstheme="majorBidi"/>
          <w:sz w:val="22"/>
          <w:lang w:val="en-US"/>
        </w:rPr>
        <w:t>polymorphism</w:t>
      </w:r>
      <w:r w:rsidRPr="004D0334">
        <w:rPr>
          <w:rFonts w:cstheme="majorBidi"/>
          <w:sz w:val="22"/>
          <w:lang w:val="en-US"/>
        </w:rPr>
        <w:t xml:space="preserve"> in MTHFR gene</w:t>
      </w:r>
      <w:r w:rsidRPr="004D0334">
        <w:rPr>
          <w:rStyle w:val="shorttext"/>
          <w:sz w:val="22"/>
          <w:lang w:val="en-GB"/>
        </w:rPr>
        <w:t xml:space="preserve"> </w:t>
      </w:r>
      <w:r w:rsidRPr="004D0334">
        <w:rPr>
          <w:rFonts w:cstheme="majorBidi"/>
          <w:sz w:val="22"/>
          <w:lang w:val="en-US"/>
        </w:rPr>
        <w:t xml:space="preserve">affects homocysteine metabolism </w:t>
      </w:r>
      <w:r w:rsidRPr="004D0334">
        <w:rPr>
          <w:rFonts w:cstheme="majorBidi"/>
          <w:bCs/>
          <w:sz w:val="22"/>
          <w:lang w:val="en-GB"/>
        </w:rPr>
        <w:t>in mothers of NTD</w:t>
      </w:r>
      <w:r>
        <w:rPr>
          <w:rFonts w:cstheme="majorBidi"/>
          <w:bCs/>
          <w:sz w:val="22"/>
          <w:lang w:val="en-GB"/>
        </w:rPr>
        <w:t xml:space="preserve"> </w:t>
      </w:r>
      <w:r w:rsidRPr="004D0334">
        <w:rPr>
          <w:rFonts w:cstheme="majorBidi"/>
          <w:bCs/>
          <w:sz w:val="22"/>
          <w:lang w:val="en-GB"/>
        </w:rPr>
        <w:t xml:space="preserve">cases </w:t>
      </w:r>
      <w:r w:rsidRPr="004D0334">
        <w:rPr>
          <w:rFonts w:cstheme="majorBidi"/>
          <w:sz w:val="22"/>
          <w:lang w:val="en-US"/>
        </w:rPr>
        <w:t>leading to</w:t>
      </w:r>
      <w:r w:rsidRPr="004D0334">
        <w:rPr>
          <w:rFonts w:cstheme="majorBidi"/>
          <w:sz w:val="22"/>
          <w:lang w:val="en-GB"/>
        </w:rPr>
        <w:t xml:space="preserve"> homocysteine concentration values higher in mothers with TT genotype of the C677T</w:t>
      </w:r>
      <w:r w:rsidRPr="004D0334">
        <w:rPr>
          <w:rFonts w:cstheme="majorBidi"/>
          <w:color w:val="231F20"/>
          <w:sz w:val="22"/>
          <w:lang w:val="en-GB"/>
        </w:rPr>
        <w:t xml:space="preserve"> </w:t>
      </w:r>
      <w:r w:rsidRPr="004D0334">
        <w:rPr>
          <w:rFonts w:cstheme="majorBidi"/>
          <w:bCs/>
          <w:sz w:val="22"/>
          <w:lang w:val="en-GB"/>
        </w:rPr>
        <w:t>(p &lt; 0.05)</w:t>
      </w:r>
      <w:r w:rsidRPr="004D0334">
        <w:rPr>
          <w:rFonts w:cstheme="majorBidi"/>
          <w:sz w:val="22"/>
          <w:lang w:val="en-GB"/>
        </w:rPr>
        <w:t>.</w:t>
      </w:r>
    </w:p>
    <w:p w:rsidR="00EF5339" w:rsidRPr="004D0334" w:rsidRDefault="00EF5339" w:rsidP="00EF5339">
      <w:pPr>
        <w:autoSpaceDE w:val="0"/>
        <w:autoSpaceDN w:val="0"/>
        <w:adjustRightInd w:val="0"/>
        <w:ind w:firstLine="567"/>
        <w:jc w:val="both"/>
        <w:rPr>
          <w:rFonts w:cstheme="majorBidi"/>
          <w:sz w:val="22"/>
          <w:lang w:val="en-GB"/>
        </w:rPr>
      </w:pPr>
      <w:r w:rsidRPr="004D0334">
        <w:rPr>
          <w:rStyle w:val="shorttext"/>
          <w:sz w:val="22"/>
          <w:lang w:val="en-GB"/>
        </w:rPr>
        <w:t>For the polymorphism A2756G of the MTR gene,</w:t>
      </w:r>
      <w:r w:rsidRPr="004D0334">
        <w:rPr>
          <w:rFonts w:cstheme="majorBidi"/>
          <w:sz w:val="22"/>
          <w:lang w:val="en-GB"/>
        </w:rPr>
        <w:t xml:space="preserve"> Although, </w:t>
      </w:r>
      <w:r w:rsidRPr="004D0334">
        <w:rPr>
          <w:rStyle w:val="shorttext"/>
          <w:sz w:val="22"/>
          <w:lang w:val="en-GB"/>
        </w:rPr>
        <w:t xml:space="preserve">Its association with </w:t>
      </w:r>
      <w:r w:rsidRPr="004D0334">
        <w:rPr>
          <w:rFonts w:cstheme="majorBidi"/>
          <w:sz w:val="22"/>
          <w:lang w:val="en-GB"/>
        </w:rPr>
        <w:t xml:space="preserve">NTD risk appears to be negative, </w:t>
      </w:r>
      <w:r w:rsidRPr="004D0334">
        <w:rPr>
          <w:rStyle w:val="shorttext"/>
          <w:sz w:val="22"/>
          <w:lang w:val="en-GB"/>
        </w:rPr>
        <w:t xml:space="preserve">It was found to </w:t>
      </w:r>
      <w:r w:rsidRPr="004D0334">
        <w:rPr>
          <w:rFonts w:cstheme="majorBidi"/>
          <w:sz w:val="22"/>
          <w:lang w:val="en-GB"/>
        </w:rPr>
        <w:t xml:space="preserve">decrease the RBC </w:t>
      </w:r>
      <w:proofErr w:type="spellStart"/>
      <w:r w:rsidRPr="004D0334">
        <w:rPr>
          <w:rFonts w:cstheme="majorBidi"/>
          <w:sz w:val="22"/>
          <w:lang w:val="en-GB"/>
        </w:rPr>
        <w:t>folate</w:t>
      </w:r>
      <w:proofErr w:type="spellEnd"/>
      <w:r w:rsidRPr="004D0334">
        <w:rPr>
          <w:rFonts w:cstheme="majorBidi"/>
          <w:sz w:val="22"/>
          <w:lang w:val="en-GB"/>
        </w:rPr>
        <w:t xml:space="preserve"> level strengthen the contribution of A2756G mutation in NTDs occurrence (p &lt;0.05).</w:t>
      </w:r>
    </w:p>
    <w:p w:rsidR="00EF5339" w:rsidRPr="004D0334" w:rsidRDefault="00EF5339" w:rsidP="00EF5339">
      <w:pPr>
        <w:autoSpaceDE w:val="0"/>
        <w:autoSpaceDN w:val="0"/>
        <w:adjustRightInd w:val="0"/>
        <w:ind w:firstLine="567"/>
        <w:jc w:val="both"/>
        <w:rPr>
          <w:rFonts w:eastAsia="Times New Roman" w:cstheme="majorBidi"/>
          <w:sz w:val="22"/>
          <w:lang w:val="en-GB" w:eastAsia="fr-FR"/>
        </w:rPr>
      </w:pPr>
      <w:r w:rsidRPr="004D0334">
        <w:rPr>
          <w:sz w:val="22"/>
          <w:lang w:val="en-GB"/>
        </w:rPr>
        <w:t>The major challenge remains translating study observations into a clinical setting such as gene screening in women before pregnancy, to identify predisposition and seek targeted prevention. Measurement of homocysteine concentration may also be a useful indicator of the need for pre-conception intervention. There is optimism that food is an element on which intervention possibilities exist.</w:t>
      </w:r>
    </w:p>
    <w:p w:rsidR="00495398" w:rsidRPr="00EF5339" w:rsidRDefault="006231BF">
      <w:pPr>
        <w:rPr>
          <w:lang w:val="en-GB"/>
        </w:rPr>
      </w:pPr>
      <w:r>
        <w:rPr>
          <w:lang w:val="en-GB"/>
        </w:rPr>
        <w:t xml:space="preserve">Key words: </w:t>
      </w:r>
      <w:r w:rsidRPr="004D0334">
        <w:rPr>
          <w:sz w:val="22"/>
          <w:lang w:val="en-GB"/>
        </w:rPr>
        <w:t>Neural tube defects</w:t>
      </w:r>
      <w:r>
        <w:rPr>
          <w:sz w:val="22"/>
          <w:lang w:val="en-GB"/>
        </w:rPr>
        <w:t xml:space="preserve">, </w:t>
      </w:r>
      <w:proofErr w:type="gramStart"/>
      <w:r w:rsidRPr="004D0334">
        <w:rPr>
          <w:rStyle w:val="shorttext"/>
          <w:sz w:val="22"/>
          <w:lang w:val="en-GB"/>
        </w:rPr>
        <w:t>genetic</w:t>
      </w:r>
      <w:r w:rsidRPr="004D0334">
        <w:rPr>
          <w:rFonts w:cstheme="majorBidi"/>
          <w:sz w:val="22"/>
          <w:lang w:val="en-GB"/>
        </w:rPr>
        <w:t xml:space="preserve"> </w:t>
      </w:r>
      <w:r>
        <w:rPr>
          <w:rFonts w:cstheme="majorBidi"/>
          <w:sz w:val="22"/>
          <w:lang w:val="en-GB"/>
        </w:rPr>
        <w:t xml:space="preserve"> </w:t>
      </w:r>
      <w:r w:rsidRPr="004D0334">
        <w:rPr>
          <w:rFonts w:cstheme="majorBidi"/>
          <w:sz w:val="22"/>
          <w:lang w:val="en-GB"/>
        </w:rPr>
        <w:t>polymorphisms</w:t>
      </w:r>
      <w:proofErr w:type="gramEnd"/>
      <w:r>
        <w:rPr>
          <w:rFonts w:cstheme="majorBidi"/>
          <w:sz w:val="22"/>
          <w:lang w:val="en-GB"/>
        </w:rPr>
        <w:t xml:space="preserve">, </w:t>
      </w:r>
      <w:proofErr w:type="spellStart"/>
      <w:r>
        <w:rPr>
          <w:rFonts w:cstheme="majorBidi"/>
          <w:sz w:val="22"/>
          <w:lang w:val="en-GB"/>
        </w:rPr>
        <w:t>folate</w:t>
      </w:r>
      <w:proofErr w:type="spellEnd"/>
      <w:r>
        <w:rPr>
          <w:rFonts w:cstheme="majorBidi"/>
          <w:sz w:val="22"/>
          <w:lang w:val="en-GB"/>
        </w:rPr>
        <w:t xml:space="preserve">, </w:t>
      </w:r>
      <w:r w:rsidRPr="004D0334">
        <w:rPr>
          <w:rFonts w:cstheme="majorBidi"/>
          <w:sz w:val="22"/>
          <w:lang w:val="en-GB"/>
        </w:rPr>
        <w:t>homocysteine metabolism</w:t>
      </w:r>
    </w:p>
    <w:sectPr w:rsidR="00495398" w:rsidRPr="00EF5339" w:rsidSect="0001024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F5339"/>
    <w:rsid w:val="00010249"/>
    <w:rsid w:val="00052A7D"/>
    <w:rsid w:val="00141C66"/>
    <w:rsid w:val="00151EE6"/>
    <w:rsid w:val="002140CE"/>
    <w:rsid w:val="00261201"/>
    <w:rsid w:val="002D3268"/>
    <w:rsid w:val="00302BE2"/>
    <w:rsid w:val="003221A3"/>
    <w:rsid w:val="0032357E"/>
    <w:rsid w:val="003557E1"/>
    <w:rsid w:val="003D3CF1"/>
    <w:rsid w:val="003F028D"/>
    <w:rsid w:val="00404E92"/>
    <w:rsid w:val="00415A4D"/>
    <w:rsid w:val="00425D8A"/>
    <w:rsid w:val="00440B14"/>
    <w:rsid w:val="00455E11"/>
    <w:rsid w:val="00495398"/>
    <w:rsid w:val="0051559B"/>
    <w:rsid w:val="00555156"/>
    <w:rsid w:val="00561ED3"/>
    <w:rsid w:val="005644DB"/>
    <w:rsid w:val="005B32FB"/>
    <w:rsid w:val="005B6E34"/>
    <w:rsid w:val="005D03EF"/>
    <w:rsid w:val="005E3449"/>
    <w:rsid w:val="005E7808"/>
    <w:rsid w:val="006231BF"/>
    <w:rsid w:val="006560F9"/>
    <w:rsid w:val="0069741C"/>
    <w:rsid w:val="007438EF"/>
    <w:rsid w:val="007537D6"/>
    <w:rsid w:val="00780BDB"/>
    <w:rsid w:val="007C3316"/>
    <w:rsid w:val="007E6C1D"/>
    <w:rsid w:val="00812BAA"/>
    <w:rsid w:val="00813AFE"/>
    <w:rsid w:val="008568C3"/>
    <w:rsid w:val="00864BFD"/>
    <w:rsid w:val="00884D03"/>
    <w:rsid w:val="008B7EC1"/>
    <w:rsid w:val="008D4118"/>
    <w:rsid w:val="00A505C2"/>
    <w:rsid w:val="00A73558"/>
    <w:rsid w:val="00A805F0"/>
    <w:rsid w:val="00B52B11"/>
    <w:rsid w:val="00BC5F5F"/>
    <w:rsid w:val="00C37948"/>
    <w:rsid w:val="00C60A55"/>
    <w:rsid w:val="00C60D2D"/>
    <w:rsid w:val="00CE59CE"/>
    <w:rsid w:val="00D2237C"/>
    <w:rsid w:val="00D23EA8"/>
    <w:rsid w:val="00DC5004"/>
    <w:rsid w:val="00DF01F9"/>
    <w:rsid w:val="00DF7529"/>
    <w:rsid w:val="00E14AED"/>
    <w:rsid w:val="00E85F4B"/>
    <w:rsid w:val="00E953F5"/>
    <w:rsid w:val="00EF5339"/>
    <w:rsid w:val="00F6191E"/>
    <w:rsid w:val="00F8194B"/>
    <w:rsid w:val="00F90525"/>
    <w:rsid w:val="00F94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left="-851" w:right="-26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339"/>
    <w:pPr>
      <w:spacing w:after="200" w:line="276" w:lineRule="auto"/>
      <w:ind w:left="0" w:right="0"/>
      <w:jc w:val="left"/>
    </w:pPr>
    <w:rPr>
      <w:rFonts w:asciiTheme="majorBidi" w:eastAsiaTheme="minorEastAsia" w:hAnsiTheme="majorBidi"/>
      <w:sz w:val="24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horttext">
    <w:name w:val="short_text"/>
    <w:basedOn w:val="Policepardfaut"/>
    <w:rsid w:val="00EF53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2019-05-10T10:48:00Z</dcterms:created>
  <dcterms:modified xsi:type="dcterms:W3CDTF">2019-05-10T11:10:00Z</dcterms:modified>
</cp:coreProperties>
</file>