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B2F" w:rsidRDefault="001E6B2F" w:rsidP="001E6B2F">
      <w:pPr>
        <w:pStyle w:val="Heading1"/>
        <w:spacing w:before="170"/>
        <w:ind w:left="0"/>
        <w:jc w:val="both"/>
        <w:rPr>
          <w:color w:val="337AB7"/>
        </w:rPr>
      </w:pPr>
      <w:r>
        <w:rPr>
          <w:color w:val="337AB7"/>
        </w:rPr>
        <w:t>Neonatal seizures associated with different pathologic KCNQ2 mutations</w:t>
      </w:r>
    </w:p>
    <w:p w:rsidR="005973B9" w:rsidRPr="001E6B2F" w:rsidRDefault="001E6B2F" w:rsidP="001E6B2F">
      <w:pPr>
        <w:pStyle w:val="Heading1"/>
        <w:spacing w:before="170"/>
        <w:ind w:left="0"/>
        <w:jc w:val="both"/>
        <w:rPr>
          <w:rFonts w:ascii="Arial"/>
          <w:sz w:val="22"/>
          <w:szCs w:val="22"/>
        </w:rPr>
      </w:pPr>
      <w:r w:rsidRPr="001E6B2F">
        <w:rPr>
          <w:rFonts w:ascii="Arial"/>
          <w:sz w:val="22"/>
          <w:szCs w:val="22"/>
        </w:rPr>
        <w:t xml:space="preserve">Ralitza </w:t>
      </w:r>
      <w:proofErr w:type="spellStart"/>
      <w:r w:rsidRPr="001E6B2F">
        <w:rPr>
          <w:rFonts w:ascii="Arial"/>
          <w:sz w:val="22"/>
          <w:szCs w:val="22"/>
        </w:rPr>
        <w:t>Gueorguieva</w:t>
      </w:r>
      <w:proofErr w:type="spellEnd"/>
      <w:r>
        <w:rPr>
          <w:rFonts w:ascii="Arial"/>
          <w:sz w:val="22"/>
          <w:szCs w:val="22"/>
        </w:rPr>
        <w:t>, Neonatal Department, University Pediatric Hospital</w:t>
      </w:r>
      <w:r w:rsidR="00B27E1F">
        <w:rPr>
          <w:rFonts w:ascii="Arial"/>
          <w:sz w:val="22"/>
          <w:szCs w:val="22"/>
        </w:rPr>
        <w:t>,</w:t>
      </w:r>
      <w:r>
        <w:rPr>
          <w:rFonts w:ascii="Arial"/>
          <w:sz w:val="22"/>
          <w:szCs w:val="22"/>
        </w:rPr>
        <w:t xml:space="preserve"> Sofia </w:t>
      </w:r>
      <w:r w:rsidRPr="001E6B2F">
        <w:rPr>
          <w:rFonts w:ascii="Arial"/>
          <w:sz w:val="22"/>
          <w:szCs w:val="22"/>
        </w:rPr>
        <w:tab/>
        <w:t xml:space="preserve"> </w:t>
      </w:r>
      <w:r>
        <w:rPr>
          <w:rFonts w:ascii="Arial"/>
          <w:sz w:val="22"/>
          <w:szCs w:val="22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B5240C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B27E1F">
        <w:t xml:space="preserve">KCNQ2 mutations have been found in patients with familial benign neonatal seizures, </w:t>
      </w:r>
      <w:proofErr w:type="spellStart"/>
      <w:r w:rsidR="00B27E1F">
        <w:t>myokymia</w:t>
      </w:r>
      <w:proofErr w:type="spellEnd"/>
      <w:r w:rsidR="00B27E1F">
        <w:t xml:space="preserve"> or early onset epileptic encephalopathy. The diagnosis of neonatal seizures could be difficult and challenging in some cases. KCNQ2 encodes the potassium channel subunit Kv7.2 and its mutations have been shown </w:t>
      </w:r>
      <w:r w:rsidR="00B5240C">
        <w:t xml:space="preserve">to cause benign familial neonatal seizures </w:t>
      </w:r>
      <w:proofErr w:type="gramStart"/>
      <w:r w:rsidR="00B5240C">
        <w:t>( BFNS</w:t>
      </w:r>
      <w:proofErr w:type="gramEnd"/>
      <w:r w:rsidR="00B5240C">
        <w:t xml:space="preserve"> ) with a </w:t>
      </w:r>
      <w:proofErr w:type="spellStart"/>
      <w:r w:rsidR="00B5240C">
        <w:t>favourable</w:t>
      </w:r>
      <w:proofErr w:type="spellEnd"/>
      <w:r w:rsidR="00B5240C">
        <w:t xml:space="preserve"> prognosis</w:t>
      </w:r>
      <w:r w:rsidR="002A11EB">
        <w:t>, but are also associated</w:t>
      </w:r>
      <w:r w:rsidR="00B5240C">
        <w:t xml:space="preserve"> with neonatal onset seizures and poor outcomes, </w:t>
      </w:r>
      <w:r w:rsidR="002A11EB">
        <w:t xml:space="preserve"> such as</w:t>
      </w:r>
      <w:r w:rsidR="00B5240C">
        <w:t xml:space="preserve"> early onset epileptic encephalopathy ( EOEE ).</w:t>
      </w:r>
    </w:p>
    <w:p w:rsidR="002A11EB" w:rsidRDefault="00B5240C">
      <w:pPr>
        <w:pStyle w:val="BodyText"/>
        <w:spacing w:before="90" w:line="280" w:lineRule="auto"/>
        <w:ind w:left="100"/>
        <w:jc w:val="both"/>
      </w:pPr>
      <w:r>
        <w:t xml:space="preserve">Patients: We present a summary of our experience with neonatal seizures associated with KCNQ2 mutations. In all cases a full diagnostic evaluation including MRI was performed before the </w:t>
      </w:r>
      <w:r w:rsidR="00193982">
        <w:t xml:space="preserve">DNA </w:t>
      </w:r>
      <w:proofErr w:type="spellStart"/>
      <w:r w:rsidR="00193982">
        <w:t>analysis</w:t>
      </w:r>
      <w:proofErr w:type="gramStart"/>
      <w:r w:rsidR="00193982">
        <w:t>.</w:t>
      </w:r>
      <w:r>
        <w:t>.</w:t>
      </w:r>
      <w:proofErr w:type="gramEnd"/>
      <w:r>
        <w:t>The</w:t>
      </w:r>
      <w:proofErr w:type="spellEnd"/>
      <w:r>
        <w:t xml:space="preserve"> first patient has a positive family history, early onset tonic neonatal seizures, </w:t>
      </w:r>
      <w:proofErr w:type="gramStart"/>
      <w:r>
        <w:t>clinical</w:t>
      </w:r>
      <w:proofErr w:type="gramEnd"/>
      <w:r>
        <w:t xml:space="preserve"> signs of encephalopathy. The following mutation was identified: c638G&gt;A,p.Arg213</w:t>
      </w:r>
      <w:r w:rsidR="00DF4710">
        <w:t>G</w:t>
      </w:r>
      <w:r>
        <w:t>in, exon 4, KCNQ2</w:t>
      </w:r>
      <w:r w:rsidR="00184B83">
        <w:t xml:space="preserve">, </w:t>
      </w:r>
      <w:bookmarkStart w:id="0" w:name="_GoBack"/>
      <w:bookmarkEnd w:id="0"/>
      <w:r w:rsidR="00184B83">
        <w:t xml:space="preserve">seizure free on carbamazepine treatment </w:t>
      </w:r>
      <w:r w:rsidR="00DF4710">
        <w:t xml:space="preserve"> The second patient presented with early tonic seizures, tonic eye deviations, burst-suppression EEG pattern, MRI –hypoplasia of corpus callosum, clinical evidence of severe encephalopathy, KCNQ2 mutation associated with EIEE was identified: G18416&gt;A,pGly281Arg, exon 6. The third clinical case is a term baby presented with early seizures –generalized tonic and</w:t>
      </w:r>
      <w:r w:rsidR="00184B83">
        <w:t xml:space="preserve"> facial</w:t>
      </w:r>
      <w:r w:rsidR="00DF4710">
        <w:t xml:space="preserve"> myoclonic</w:t>
      </w:r>
      <w:r w:rsidR="00184B83">
        <w:t xml:space="preserve">, KCNQ2 mutation c.637C&gt;TpArg213T, exon 4, successful treatment with carbamazepine, but severe developmental delay. Our fourth patient was with a positive family history, early tonic and </w:t>
      </w:r>
      <w:proofErr w:type="spellStart"/>
      <w:r w:rsidR="00184B83">
        <w:t>clonic</w:t>
      </w:r>
      <w:proofErr w:type="spellEnd"/>
      <w:r w:rsidR="00184B83">
        <w:t xml:space="preserve"> seizures, no </w:t>
      </w:r>
      <w:r w:rsidR="00184B83">
        <w:t>evidence of encephalopathy, KCNQ2 mutation</w:t>
      </w:r>
      <w:r w:rsidR="002A11EB">
        <w:t xml:space="preserve"> – partial deletion of exon 17, known as a cause of benign familial neonatal seizures. This infant is seizure free and the neurodevelopment is completely normal.  </w:t>
      </w:r>
    </w:p>
    <w:p w:rsidR="00AE3E37" w:rsidRDefault="002A11EB">
      <w:pPr>
        <w:pStyle w:val="BodyText"/>
        <w:spacing w:before="90" w:line="280" w:lineRule="auto"/>
        <w:ind w:left="100"/>
        <w:jc w:val="both"/>
      </w:pPr>
      <w:r>
        <w:t xml:space="preserve">Conclusion: KCNQ2 mutations could be associated with variable clinical presentation, the genetic testing should be performed in all neonates with </w:t>
      </w:r>
      <w:r w:rsidR="00193982">
        <w:t xml:space="preserve">unknown </w:t>
      </w:r>
      <w:proofErr w:type="gramStart"/>
      <w:r w:rsidR="00193982">
        <w:t>seizure  cause</w:t>
      </w:r>
      <w:proofErr w:type="gramEnd"/>
      <w:r w:rsidR="00193982">
        <w:t xml:space="preserve">  after complete diagnostic evaluation.</w:t>
      </w:r>
      <w:r>
        <w:t xml:space="preserve"> </w:t>
      </w:r>
      <w:r w:rsidR="00184B83">
        <w:t xml:space="preserve"> </w:t>
      </w:r>
      <w:r w:rsidR="00DF4710">
        <w:t xml:space="preserve">   </w:t>
      </w:r>
      <w:r w:rsidR="00B5240C">
        <w:t xml:space="preserve"> </w:t>
      </w:r>
      <w:r w:rsidR="00B27E1F">
        <w:t xml:space="preserve">  </w:t>
      </w:r>
    </w:p>
    <w:p w:rsidR="005973B9" w:rsidRDefault="005973B9" w:rsidP="00B27E1F">
      <w:pPr>
        <w:pStyle w:val="BodyText"/>
        <w:spacing w:before="2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193982" w:rsidP="00193982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 xml:space="preserve">Kato M, Yamagata T, Kubota M et </w:t>
      </w:r>
      <w:proofErr w:type="spellStart"/>
      <w:r>
        <w:rPr>
          <w:rFonts w:ascii="Calibri" w:hAnsi="Calibri"/>
        </w:rPr>
        <w:t>al.,Clinical</w:t>
      </w:r>
      <w:proofErr w:type="spellEnd"/>
      <w:r>
        <w:rPr>
          <w:rFonts w:ascii="Calibri" w:hAnsi="Calibri"/>
        </w:rPr>
        <w:t xml:space="preserve"> spectrum of early onset epileptic encephalopathies, caused  by KCNQ2 mutation, </w:t>
      </w:r>
      <w:proofErr w:type="spellStart"/>
      <w:r>
        <w:rPr>
          <w:rFonts w:ascii="Calibri" w:hAnsi="Calibri"/>
        </w:rPr>
        <w:t>Epilepsia</w:t>
      </w:r>
      <w:proofErr w:type="spellEnd"/>
      <w:r>
        <w:rPr>
          <w:rFonts w:ascii="Calibri" w:hAnsi="Calibri"/>
        </w:rPr>
        <w:t>, 2013, 54 (7), 1282-1287</w:t>
      </w:r>
    </w:p>
    <w:p w:rsidR="002D7143" w:rsidRDefault="002D7143" w:rsidP="00436727">
      <w:pPr>
        <w:pStyle w:val="BodyText"/>
        <w:numPr>
          <w:ilvl w:val="0"/>
          <w:numId w:val="4"/>
        </w:numPr>
        <w:tabs>
          <w:tab w:val="left" w:pos="384"/>
        </w:tabs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Spoto</w:t>
      </w:r>
      <w:proofErr w:type="spellEnd"/>
      <w:r>
        <w:rPr>
          <w:rFonts w:ascii="Calibri" w:hAnsi="Calibri"/>
        </w:rPr>
        <w:t xml:space="preserve"> G, Saia MC, Amore G, Neonatal </w:t>
      </w:r>
      <w:proofErr w:type="spellStart"/>
      <w:r>
        <w:rPr>
          <w:rFonts w:ascii="Calibri" w:hAnsi="Calibri"/>
        </w:rPr>
        <w:t>Seizures:An</w:t>
      </w:r>
      <w:proofErr w:type="spellEnd"/>
      <w:r>
        <w:rPr>
          <w:rFonts w:ascii="Calibri" w:hAnsi="Calibri"/>
        </w:rPr>
        <w:t xml:space="preserve"> Overview of genetic causes and treatment options, Brain </w:t>
      </w:r>
      <w:proofErr w:type="spellStart"/>
      <w:r>
        <w:rPr>
          <w:rFonts w:ascii="Calibri" w:hAnsi="Calibri"/>
        </w:rPr>
        <w:t>Sci</w:t>
      </w:r>
      <w:proofErr w:type="spellEnd"/>
      <w:r>
        <w:rPr>
          <w:rFonts w:ascii="Calibri" w:hAnsi="Calibri"/>
        </w:rPr>
        <w:t>, 2021, 11, 1295</w:t>
      </w:r>
    </w:p>
    <w:p w:rsidR="002D7143" w:rsidRDefault="002D7143" w:rsidP="00436727">
      <w:pPr>
        <w:pStyle w:val="BodyText"/>
        <w:numPr>
          <w:ilvl w:val="0"/>
          <w:numId w:val="4"/>
        </w:numPr>
        <w:tabs>
          <w:tab w:val="left" w:pos="384"/>
        </w:tabs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Malerba</w:t>
      </w:r>
      <w:proofErr w:type="spellEnd"/>
      <w:r>
        <w:rPr>
          <w:rFonts w:ascii="Calibri" w:hAnsi="Calibri"/>
        </w:rPr>
        <w:t xml:space="preserve"> F, </w:t>
      </w:r>
      <w:proofErr w:type="spellStart"/>
      <w:r>
        <w:rPr>
          <w:rFonts w:ascii="Calibri" w:hAnsi="Calibri"/>
        </w:rPr>
        <w:t>Alberini</w:t>
      </w:r>
      <w:proofErr w:type="spellEnd"/>
      <w:r>
        <w:rPr>
          <w:rFonts w:ascii="Calibri" w:hAnsi="Calibri"/>
        </w:rPr>
        <w:t xml:space="preserve"> G, </w:t>
      </w:r>
      <w:proofErr w:type="spellStart"/>
      <w:r>
        <w:rPr>
          <w:rFonts w:ascii="Calibri" w:hAnsi="Calibri"/>
        </w:rPr>
        <w:t>Balagura</w:t>
      </w:r>
      <w:proofErr w:type="spellEnd"/>
      <w:r>
        <w:rPr>
          <w:rFonts w:ascii="Calibri" w:hAnsi="Calibri"/>
        </w:rPr>
        <w:t xml:space="preserve"> G et al., Genotype-phenotype correlations in patients with de novo KCNQ2 pathogenic variants, Neurology Genetics, 2020;6(6)</w:t>
      </w:r>
    </w:p>
    <w:p w:rsidR="0056368D" w:rsidRDefault="002D7143" w:rsidP="00436727">
      <w:pPr>
        <w:pStyle w:val="BodyText"/>
        <w:numPr>
          <w:ilvl w:val="0"/>
          <w:numId w:val="4"/>
        </w:numPr>
        <w:tabs>
          <w:tab w:val="left" w:pos="384"/>
        </w:tabs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Pisani</w:t>
      </w:r>
      <w:proofErr w:type="spellEnd"/>
      <w:r>
        <w:rPr>
          <w:rFonts w:ascii="Calibri" w:hAnsi="Calibri"/>
        </w:rPr>
        <w:t xml:space="preserve"> F, </w:t>
      </w:r>
      <w:proofErr w:type="spellStart"/>
      <w:r>
        <w:rPr>
          <w:rFonts w:ascii="Calibri" w:hAnsi="Calibri"/>
        </w:rPr>
        <w:t>Ramantani</w:t>
      </w:r>
      <w:proofErr w:type="spellEnd"/>
      <w:r>
        <w:rPr>
          <w:rFonts w:ascii="Calibri" w:hAnsi="Calibri"/>
        </w:rPr>
        <w:t xml:space="preserve"> G, Seizures in the </w:t>
      </w:r>
      <w:proofErr w:type="spellStart"/>
      <w:r>
        <w:rPr>
          <w:rFonts w:ascii="Calibri" w:hAnsi="Calibri"/>
        </w:rPr>
        <w:t>neonate:A</w:t>
      </w:r>
      <w:proofErr w:type="spellEnd"/>
      <w:r>
        <w:rPr>
          <w:rFonts w:ascii="Calibri" w:hAnsi="Calibri"/>
        </w:rPr>
        <w:t xml:space="preserve"> review of etiologies and outcomes</w:t>
      </w:r>
      <w:r w:rsidR="0056368D">
        <w:rPr>
          <w:rFonts w:ascii="Calibri" w:hAnsi="Calibri"/>
        </w:rPr>
        <w:t>, Seizure: European Journal of Epilepsy, 85(2021 ), 48-56</w:t>
      </w:r>
    </w:p>
    <w:p w:rsidR="00AE3E37" w:rsidRPr="002D7143" w:rsidRDefault="0056368D" w:rsidP="00436727">
      <w:pPr>
        <w:pStyle w:val="BodyText"/>
        <w:numPr>
          <w:ilvl w:val="0"/>
          <w:numId w:val="4"/>
        </w:numPr>
        <w:tabs>
          <w:tab w:val="left" w:pos="384"/>
        </w:tabs>
        <w:spacing w:before="85" w:line="216" w:lineRule="exact"/>
        <w:ind w:right="138"/>
        <w:jc w:val="both"/>
        <w:rPr>
          <w:rFonts w:ascii="Calibri" w:hAnsi="Calibri"/>
        </w:rPr>
        <w:sectPr w:rsidR="00AE3E37" w:rsidRPr="002D7143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>
        <w:rPr>
          <w:rFonts w:ascii="Calibri" w:hAnsi="Calibri"/>
        </w:rPr>
        <w:t>Pavone</w:t>
      </w:r>
      <w:proofErr w:type="spellEnd"/>
      <w:r>
        <w:rPr>
          <w:rFonts w:ascii="Calibri" w:hAnsi="Calibri"/>
        </w:rPr>
        <w:t xml:space="preserve"> P., </w:t>
      </w:r>
      <w:proofErr w:type="spellStart"/>
      <w:r>
        <w:rPr>
          <w:rFonts w:ascii="Calibri" w:hAnsi="Calibri"/>
        </w:rPr>
        <w:t>Pratico</w:t>
      </w:r>
      <w:proofErr w:type="spellEnd"/>
      <w:r>
        <w:rPr>
          <w:rFonts w:ascii="Calibri" w:hAnsi="Calibri"/>
        </w:rPr>
        <w:t xml:space="preserve"> AD,  </w:t>
      </w:r>
      <w:proofErr w:type="spellStart"/>
      <w:r>
        <w:rPr>
          <w:rFonts w:ascii="Calibri" w:hAnsi="Calibri"/>
        </w:rPr>
        <w:t>Falsaperia</w:t>
      </w:r>
      <w:proofErr w:type="spellEnd"/>
      <w:r>
        <w:rPr>
          <w:rFonts w:ascii="Calibri" w:hAnsi="Calibri"/>
        </w:rPr>
        <w:t xml:space="preserve"> R, </w:t>
      </w:r>
      <w:proofErr w:type="spellStart"/>
      <w:r>
        <w:rPr>
          <w:rFonts w:ascii="Calibri" w:hAnsi="Calibri"/>
        </w:rPr>
        <w:t>Striano</w:t>
      </w:r>
      <w:proofErr w:type="spellEnd"/>
      <w:r>
        <w:rPr>
          <w:rFonts w:ascii="Calibri" w:hAnsi="Calibri"/>
        </w:rPr>
        <w:t xml:space="preserve"> P, </w:t>
      </w:r>
      <w:proofErr w:type="spellStart"/>
      <w:r>
        <w:rPr>
          <w:rFonts w:ascii="Calibri" w:hAnsi="Calibri"/>
        </w:rPr>
        <w:t>Ruggieri</w:t>
      </w:r>
      <w:proofErr w:type="spellEnd"/>
      <w:r>
        <w:rPr>
          <w:rFonts w:ascii="Calibri" w:hAnsi="Calibri"/>
        </w:rPr>
        <w:t xml:space="preserve"> M, Is benign familial  neonatal KCNQ2 related epilepsy always </w:t>
      </w:r>
      <w:proofErr w:type="spellStart"/>
      <w:r>
        <w:rPr>
          <w:rFonts w:ascii="Calibri" w:hAnsi="Calibri"/>
        </w:rPr>
        <w:t>familially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benign,</w:t>
      </w:r>
      <w:r w:rsidR="002B5EB1">
        <w:rPr>
          <w:rFonts w:ascii="Calibri" w:hAnsi="Calibri"/>
        </w:rPr>
        <w:t>Journal</w:t>
      </w:r>
      <w:proofErr w:type="spellEnd"/>
      <w:r w:rsidR="002B5EB1">
        <w:rPr>
          <w:rFonts w:ascii="Calibri" w:hAnsi="Calibri"/>
        </w:rPr>
        <w:t xml:space="preserve"> of Pediatric and Neonatal </w:t>
      </w:r>
      <w:proofErr w:type="spellStart"/>
      <w:r w:rsidR="002B5EB1">
        <w:rPr>
          <w:rFonts w:ascii="Calibri" w:hAnsi="Calibri"/>
        </w:rPr>
        <w:t>IndividualizedMedicine</w:t>
      </w:r>
      <w:proofErr w:type="spellEnd"/>
      <w:r w:rsidR="002B5EB1">
        <w:rPr>
          <w:rFonts w:ascii="Calibri" w:hAnsi="Calibri"/>
        </w:rPr>
        <w:t>, 2018;7(2):e070221</w:t>
      </w:r>
      <w:r>
        <w:rPr>
          <w:rFonts w:ascii="Calibri" w:hAnsi="Calibri"/>
        </w:rPr>
        <w:t xml:space="preserve">  </w:t>
      </w:r>
      <w:r w:rsidR="008756E6" w:rsidRPr="002D7143"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25AD4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1012190" cy="570230"/>
                <wp:effectExtent l="19050" t="19050" r="16510" b="20320"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2" o:spid="_x0000_s1026" style="width:79.7pt;height:4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" strokecolor="#9bbb59" strokeweight="2.5pt">
                <v:shadow color="#868686"/>
                <v:textbox>
                  <w:txbxContent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302CC0A0" wp14:editId="3FE6977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E37" w:rsidRDefault="001E6B2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Ralitza </w:t>
      </w:r>
      <w:proofErr w:type="spellStart"/>
      <w:r>
        <w:rPr>
          <w:rFonts w:ascii="Arial"/>
          <w:sz w:val="14"/>
        </w:rPr>
        <w:t>Gueorgieva</w:t>
      </w:r>
      <w:proofErr w:type="spellEnd"/>
      <w:r>
        <w:rPr>
          <w:rFonts w:ascii="Arial"/>
          <w:sz w:val="14"/>
        </w:rPr>
        <w:t xml:space="preserve"> has her expertise </w:t>
      </w:r>
      <w:proofErr w:type="gramStart"/>
      <w:r>
        <w:rPr>
          <w:rFonts w:ascii="Arial"/>
          <w:sz w:val="14"/>
        </w:rPr>
        <w:t>as  neonatologist</w:t>
      </w:r>
      <w:proofErr w:type="gramEnd"/>
      <w:r>
        <w:rPr>
          <w:rFonts w:ascii="Arial"/>
          <w:sz w:val="14"/>
        </w:rPr>
        <w:t xml:space="preserve"> in NICU, University Pediatric Hospital in Sofia. The main scientific interests are focused on the fields of neonatal intensive care and neonatal </w:t>
      </w:r>
      <w:proofErr w:type="spellStart"/>
      <w:r>
        <w:rPr>
          <w:rFonts w:ascii="Arial"/>
          <w:sz w:val="14"/>
        </w:rPr>
        <w:t>neurology.The</w:t>
      </w:r>
      <w:proofErr w:type="spellEnd"/>
      <w:r>
        <w:rPr>
          <w:rFonts w:ascii="Arial"/>
          <w:sz w:val="14"/>
        </w:rPr>
        <w:t xml:space="preserve"> team of the department has a great experience managing neonates born with perinatal asphyxia and hypoxic-ischemic encephalopathy</w:t>
      </w:r>
      <w:r w:rsidR="00606D40">
        <w:rPr>
          <w:rFonts w:ascii="Arial"/>
          <w:sz w:val="14"/>
        </w:rPr>
        <w:t xml:space="preserve">, premature infants with different perinatal brain lesions. Another important issue in our clinical and scientific work is the treatment and follow up of infants with neonatal seizures </w:t>
      </w:r>
    </w:p>
    <w:p w:rsidR="00606D40" w:rsidRDefault="00A9710C" w:rsidP="00606D4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7DD3B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606D40">
        <w:rPr>
          <w:rFonts w:ascii="Arial"/>
          <w:sz w:val="14"/>
        </w:rPr>
        <w:t>raligeorgi@yahoo.com</w:t>
      </w:r>
    </w:p>
    <w:p w:rsidR="00606D40" w:rsidRDefault="00606D40" w:rsidP="00606D40">
      <w:pPr>
        <w:spacing w:before="62"/>
        <w:ind w:left="4217" w:right="4235"/>
        <w:jc w:val="center"/>
        <w:rPr>
          <w:rFonts w:ascii="Arial"/>
          <w:sz w:val="14"/>
        </w:rPr>
      </w:pPr>
    </w:p>
    <w:p w:rsidR="00606D40" w:rsidRDefault="00606D40" w:rsidP="00606D40">
      <w:pPr>
        <w:spacing w:before="62"/>
        <w:ind w:left="4217" w:right="4235"/>
        <w:jc w:val="center"/>
        <w:rPr>
          <w:rFonts w:ascii="Arial"/>
          <w:sz w:val="14"/>
        </w:rPr>
      </w:pPr>
    </w:p>
    <w:p w:rsidR="00606D40" w:rsidRDefault="00606D40" w:rsidP="00606D40">
      <w:pPr>
        <w:spacing w:before="62"/>
        <w:ind w:left="4217" w:right="4235"/>
        <w:jc w:val="center"/>
        <w:rPr>
          <w:rFonts w:ascii="Arial"/>
          <w:sz w:val="14"/>
        </w:rPr>
      </w:pPr>
    </w:p>
    <w:p w:rsidR="00606D40" w:rsidRDefault="00606D40" w:rsidP="00606D40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606D40" w:rsidP="00606D40">
      <w:pPr>
        <w:spacing w:before="62"/>
        <w:ind w:left="4217" w:right="4235"/>
        <w:jc w:val="center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</w:t>
      </w:r>
      <w:r w:rsidR="00A9710C" w:rsidRPr="00B21A57">
        <w:rPr>
          <w:rFonts w:ascii="Minion Pro"/>
          <w:b/>
          <w:sz w:val="20"/>
        </w:rPr>
        <w:t>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606D40">
        <w:rPr>
          <w:sz w:val="20"/>
          <w:szCs w:val="20"/>
          <w:lang w:val="en-NZ"/>
        </w:rPr>
        <w:t xml:space="preserve">Ralitza Wilson </w:t>
      </w:r>
      <w:proofErr w:type="spellStart"/>
      <w:r w:rsidR="00606D40">
        <w:rPr>
          <w:sz w:val="20"/>
          <w:szCs w:val="20"/>
          <w:lang w:val="en-NZ"/>
        </w:rPr>
        <w:t>Gueorguieva</w:t>
      </w:r>
      <w:proofErr w:type="spellEnd"/>
      <w:r w:rsidRPr="00F35A62">
        <w:rPr>
          <w:sz w:val="20"/>
          <w:szCs w:val="20"/>
          <w:lang w:val="en-NZ"/>
        </w:rPr>
        <w:br/>
        <w:t>Contact number</w:t>
      </w:r>
      <w:proofErr w:type="gramStart"/>
      <w:r w:rsidRPr="00F35A62">
        <w:rPr>
          <w:sz w:val="20"/>
          <w:szCs w:val="20"/>
          <w:lang w:val="en-NZ"/>
        </w:rPr>
        <w:t>:</w:t>
      </w:r>
      <w:r w:rsidR="00606D40">
        <w:rPr>
          <w:sz w:val="20"/>
          <w:szCs w:val="20"/>
          <w:lang w:val="en-NZ"/>
        </w:rPr>
        <w:t>00359888952925</w:t>
      </w:r>
      <w:proofErr w:type="gramEnd"/>
      <w:r w:rsidRPr="00F35A62">
        <w:rPr>
          <w:sz w:val="20"/>
          <w:szCs w:val="20"/>
          <w:lang w:val="en-NZ"/>
        </w:rPr>
        <w:br/>
        <w:t xml:space="preserve">Twitter </w:t>
      </w:r>
      <w:proofErr w:type="spellStart"/>
      <w:r w:rsidRPr="00F35A62">
        <w:rPr>
          <w:sz w:val="20"/>
          <w:szCs w:val="20"/>
          <w:lang w:val="en-NZ"/>
        </w:rPr>
        <w:t>account:</w:t>
      </w:r>
      <w:r w:rsidR="00606D40">
        <w:rPr>
          <w:sz w:val="20"/>
          <w:szCs w:val="20"/>
          <w:lang w:val="en-NZ"/>
        </w:rPr>
        <w:t>Georgieva</w:t>
      </w:r>
      <w:proofErr w:type="spellEnd"/>
      <w:r w:rsidR="00606D40">
        <w:rPr>
          <w:sz w:val="20"/>
          <w:szCs w:val="20"/>
          <w:lang w:val="en-NZ"/>
        </w:rPr>
        <w:t xml:space="preserve"> </w:t>
      </w:r>
      <w:proofErr w:type="spellStart"/>
      <w:r w:rsidR="00606D40">
        <w:rPr>
          <w:sz w:val="20"/>
          <w:szCs w:val="20"/>
          <w:lang w:val="en-NZ"/>
        </w:rPr>
        <w:t>Ralitza@aldardanelli</w:t>
      </w:r>
      <w:proofErr w:type="spellEnd"/>
      <w:r w:rsidRPr="00F35A62">
        <w:rPr>
          <w:sz w:val="20"/>
          <w:szCs w:val="20"/>
          <w:lang w:val="en-NZ"/>
        </w:rPr>
        <w:br/>
        <w:t xml:space="preserve">Linked In </w:t>
      </w:r>
      <w:proofErr w:type="spellStart"/>
      <w:r w:rsidRPr="00F35A62">
        <w:rPr>
          <w:sz w:val="20"/>
          <w:szCs w:val="20"/>
          <w:lang w:val="en-NZ"/>
        </w:rPr>
        <w:t>account:</w:t>
      </w:r>
      <w:r w:rsidR="00606D40">
        <w:rPr>
          <w:sz w:val="20"/>
          <w:szCs w:val="20"/>
          <w:lang w:val="en-NZ"/>
        </w:rPr>
        <w:t>Ralitza</w:t>
      </w:r>
      <w:proofErr w:type="spellEnd"/>
      <w:r w:rsidR="00606D40">
        <w:rPr>
          <w:sz w:val="20"/>
          <w:szCs w:val="20"/>
          <w:lang w:val="en-NZ"/>
        </w:rPr>
        <w:t xml:space="preserve"> Georgieva</w:t>
      </w:r>
    </w:p>
    <w:p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</w:t>
      </w:r>
      <w:proofErr w:type="gramStart"/>
      <w:r w:rsidRPr="00F35A62">
        <w:rPr>
          <w:sz w:val="20"/>
          <w:szCs w:val="20"/>
          <w:lang w:val="en-NZ"/>
        </w:rPr>
        <w:t>)</w:t>
      </w:r>
      <w:r w:rsidR="00606D40">
        <w:rPr>
          <w:sz w:val="20"/>
          <w:szCs w:val="20"/>
          <w:lang w:val="en-NZ"/>
        </w:rPr>
        <w:t>poster</w:t>
      </w:r>
      <w:proofErr w:type="gramEnd"/>
      <w:r w:rsidR="00606D40">
        <w:rPr>
          <w:sz w:val="20"/>
          <w:szCs w:val="20"/>
          <w:lang w:val="en-NZ"/>
        </w:rPr>
        <w:t xml:space="preserve"> presentation</w:t>
      </w:r>
      <w:r w:rsidRPr="00F35A62">
        <w:rPr>
          <w:sz w:val="20"/>
          <w:szCs w:val="20"/>
          <w:lang w:val="en-NZ"/>
        </w:rPr>
        <w:br/>
      </w:r>
    </w:p>
    <w:p w:rsidR="00EA7D51" w:rsidRPr="000534A1" w:rsidRDefault="00606D40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proofErr w:type="gramStart"/>
      <w:r>
        <w:rPr>
          <w:rFonts w:ascii="Minion Pro"/>
          <w:b/>
          <w:sz w:val="20"/>
        </w:rPr>
        <w:t>poster</w:t>
      </w:r>
      <w:proofErr w:type="gramEnd"/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547" w:rsidRDefault="006B0547">
      <w:r>
        <w:separator/>
      </w:r>
    </w:p>
  </w:endnote>
  <w:endnote w:type="continuationSeparator" w:id="0">
    <w:p w:rsidR="006B0547" w:rsidRDefault="006B0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547" w:rsidRDefault="006B0547">
      <w:r>
        <w:separator/>
      </w:r>
    </w:p>
  </w:footnote>
  <w:footnote w:type="continuationSeparator" w:id="0">
    <w:p w:rsidR="006B0547" w:rsidRDefault="006B0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47874A5"/>
    <w:multiLevelType w:val="hybridMultilevel"/>
    <w:tmpl w:val="7028528A"/>
    <w:lvl w:ilvl="0" w:tplc="C102248C">
      <w:start w:val="1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84B83"/>
    <w:rsid w:val="00193982"/>
    <w:rsid w:val="001E6B2F"/>
    <w:rsid w:val="00292ED9"/>
    <w:rsid w:val="002A11EB"/>
    <w:rsid w:val="002B5EB1"/>
    <w:rsid w:val="002D7143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6368D"/>
    <w:rsid w:val="00590D60"/>
    <w:rsid w:val="005973B9"/>
    <w:rsid w:val="005B3A56"/>
    <w:rsid w:val="006060CE"/>
    <w:rsid w:val="00606D40"/>
    <w:rsid w:val="0061505C"/>
    <w:rsid w:val="0063497F"/>
    <w:rsid w:val="006B0547"/>
    <w:rsid w:val="00714354"/>
    <w:rsid w:val="00723934"/>
    <w:rsid w:val="00755581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27E1F"/>
    <w:rsid w:val="00B5240C"/>
    <w:rsid w:val="00BE6743"/>
    <w:rsid w:val="00C33602"/>
    <w:rsid w:val="00C56C74"/>
    <w:rsid w:val="00CD6F55"/>
    <w:rsid w:val="00DE3104"/>
    <w:rsid w:val="00DE6170"/>
    <w:rsid w:val="00DF471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BE10CE-0378-4D52-89DA-75EE16DE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3</cp:revision>
  <dcterms:created xsi:type="dcterms:W3CDTF">2021-12-31T06:27:00Z</dcterms:created>
  <dcterms:modified xsi:type="dcterms:W3CDTF">2021-12-31T09:46:00Z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