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6A31B" w14:textId="77777777" w:rsidR="00AE3E37" w:rsidRDefault="001847BC" w:rsidP="001847BC">
      <w:pPr>
        <w:pStyle w:val="Heading1"/>
        <w:tabs>
          <w:tab w:val="left" w:pos="6645"/>
        </w:tabs>
        <w:spacing w:before="170"/>
        <w:ind w:left="0"/>
      </w:pPr>
      <w:r>
        <w:rPr>
          <w:noProof/>
          <w:color w:val="337AB7"/>
        </w:rPr>
        <mc:AlternateContent>
          <mc:Choice Requires="wps">
            <w:drawing>
              <wp:anchor distT="0" distB="0" distL="114300" distR="114300" simplePos="0" relativeHeight="251660288" behindDoc="0" locked="0" layoutInCell="1" allowOverlap="1" wp14:anchorId="42C6A333" wp14:editId="42C6A334">
                <wp:simplePos x="0" y="0"/>
                <wp:positionH relativeFrom="column">
                  <wp:posOffset>3311525</wp:posOffset>
                </wp:positionH>
                <wp:positionV relativeFrom="paragraph">
                  <wp:posOffset>-85725</wp:posOffset>
                </wp:positionV>
                <wp:extent cx="3648075" cy="238125"/>
                <wp:effectExtent l="0" t="0" r="9525" b="9525"/>
                <wp:wrapNone/>
                <wp:docPr id="19" name="Text Box 19"/>
                <wp:cNvGraphicFramePr/>
                <a:graphic xmlns:a="http://schemas.openxmlformats.org/drawingml/2006/main">
                  <a:graphicData uri="http://schemas.microsoft.com/office/word/2010/wordprocessingShape">
                    <wps:wsp>
                      <wps:cNvSpPr txBox="1"/>
                      <wps:spPr>
                        <a:xfrm>
                          <a:off x="0" y="0"/>
                          <a:ext cx="364807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C6A34D" w14:textId="77777777" w:rsidR="001847BC" w:rsidRDefault="001847BC">
                            <w:r>
                              <w:t xml:space="preserve">           BEFORE                                      AFTER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C6A333" id="_x0000_t202" coordsize="21600,21600" o:spt="202" path="m,l,21600r21600,l21600,xe">
                <v:stroke joinstyle="miter"/>
                <v:path gradientshapeok="t" o:connecttype="rect"/>
              </v:shapetype>
              <v:shape id="Text Box 19" o:spid="_x0000_s1026" type="#_x0000_t202" style="position:absolute;margin-left:260.75pt;margin-top:-6.75pt;width:287.25pt;height:1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" fillcolor="white [3201]" stroked="f" strokeweight=".5pt">
                <v:textbox>
                  <w:txbxContent>
                    <w:p w14:paraId="42C6A34D" w14:textId="77777777" w:rsidR="001847BC" w:rsidRDefault="001847BC">
                      <w:r>
                        <w:t xml:space="preserve">           BEFORE                                      AFTER</w:t>
                      </w:r>
                    </w:p>
                  </w:txbxContent>
                </v:textbox>
              </v:shape>
            </w:pict>
          </mc:Fallback>
        </mc:AlternateContent>
      </w:r>
      <w:r w:rsidR="00840204">
        <w:rPr>
          <w:noProof/>
          <w:color w:val="337AB7"/>
        </w:rPr>
        <mc:AlternateContent>
          <mc:Choice Requires="wps">
            <w:drawing>
              <wp:anchor distT="0" distB="0" distL="114300" distR="114300" simplePos="0" relativeHeight="251659264" behindDoc="0" locked="0" layoutInCell="1" allowOverlap="1" wp14:anchorId="42C6A335" wp14:editId="42C6A336">
                <wp:simplePos x="0" y="0"/>
                <wp:positionH relativeFrom="column">
                  <wp:posOffset>3416300</wp:posOffset>
                </wp:positionH>
                <wp:positionV relativeFrom="paragraph">
                  <wp:posOffset>209550</wp:posOffset>
                </wp:positionV>
                <wp:extent cx="3543300" cy="1056005"/>
                <wp:effectExtent l="0" t="0" r="19050" b="10795"/>
                <wp:wrapNone/>
                <wp:docPr id="4" name="Text Box 4"/>
                <wp:cNvGraphicFramePr/>
                <a:graphic xmlns:a="http://schemas.openxmlformats.org/drawingml/2006/main">
                  <a:graphicData uri="http://schemas.microsoft.com/office/word/2010/wordprocessingShape">
                    <wps:wsp>
                      <wps:cNvSpPr txBox="1"/>
                      <wps:spPr>
                        <a:xfrm>
                          <a:off x="0" y="0"/>
                          <a:ext cx="3543300" cy="10560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C6A34E" w14:textId="77777777" w:rsidR="00840204" w:rsidRDefault="00840204">
                            <w:r>
                              <w:rPr>
                                <w:noProof/>
                              </w:rPr>
                              <w:drawing>
                                <wp:inline distT="0" distB="0" distL="0" distR="0" wp14:anchorId="42C6A34F" wp14:editId="42C6A350">
                                  <wp:extent cx="1466850" cy="1005840"/>
                                  <wp:effectExtent l="0" t="0" r="0" b="3810"/>
                                  <wp:docPr id="3" name="Picture 2">
                                    <a:extLst xmlns:a="http://schemas.openxmlformats.org/drawingml/2006/main">
                                      <a:ext uri="{FF2B5EF4-FFF2-40B4-BE49-F238E27FC236}">
                                        <a16:creationId xmlns:a16="http://schemas.microsoft.com/office/drawing/2014/main" id="{4D8F866B-FF59-45AA-B515-A95450E49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D8F866B-FF59-45AA-B515-A95450E49C00}"/>
                                              </a:ext>
                                            </a:extLst>
                                          </pic:cNvPr>
                                          <pic:cNvPicPr>
                                            <a:picLocks noChangeAspect="1"/>
                                          </pic:cNvPicPr>
                                        </pic:nvPicPr>
                                        <pic:blipFill>
                                          <a:blip r:embed="rId8"/>
                                          <a:stretch>
                                            <a:fillRect/>
                                          </a:stretch>
                                        </pic:blipFill>
                                        <pic:spPr>
                                          <a:xfrm>
                                            <a:off x="0" y="0"/>
                                            <a:ext cx="1473543" cy="1010429"/>
                                          </a:xfrm>
                                          <a:prstGeom prst="rect">
                                            <a:avLst/>
                                          </a:prstGeom>
                                        </pic:spPr>
                                      </pic:pic>
                                    </a:graphicData>
                                  </a:graphic>
                                </wp:inline>
                              </w:drawing>
                            </w:r>
                            <w:r>
                              <w:rPr>
                                <w:noProof/>
                              </w:rPr>
                              <w:t xml:space="preserve">     </w:t>
                            </w:r>
                            <w:r>
                              <w:rPr>
                                <w:noProof/>
                              </w:rPr>
                              <w:drawing>
                                <wp:inline distT="0" distB="0" distL="0" distR="0" wp14:anchorId="42C6A351" wp14:editId="42C6A352">
                                  <wp:extent cx="1645920" cy="979769"/>
                                  <wp:effectExtent l="0" t="0" r="0" b="0"/>
                                  <wp:docPr id="18" name="Picture 10">
                                    <a:extLst xmlns:a="http://schemas.openxmlformats.org/drawingml/2006/main">
                                      <a:ext uri="{FF2B5EF4-FFF2-40B4-BE49-F238E27FC236}">
                                        <a16:creationId xmlns:a16="http://schemas.microsoft.com/office/drawing/2014/main" id="{A936623A-A042-4543-A039-83DBFFE48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936623A-A042-4543-A039-83DBFFE48B96}"/>
                                              </a:ext>
                                            </a:extLst>
                                          </pic:cNvPr>
                                          <pic:cNvPicPr>
                                            <a:picLocks noChangeAspect="1"/>
                                          </pic:cNvPicPr>
                                        </pic:nvPicPr>
                                        <pic:blipFill>
                                          <a:blip r:embed="rId9"/>
                                          <a:stretch>
                                            <a:fillRect/>
                                          </a:stretch>
                                        </pic:blipFill>
                                        <pic:spPr>
                                          <a:xfrm flipH="1">
                                            <a:off x="0" y="0"/>
                                            <a:ext cx="1689591" cy="1005765"/>
                                          </a:xfrm>
                                          <a:prstGeom prst="rect">
                                            <a:avLst/>
                                          </a:prstGeom>
                                        </pic:spPr>
                                      </pic:pic>
                                    </a:graphicData>
                                  </a:graphic>
                                </wp:inline>
                              </w:drawing>
                            </w: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C6A335" id="Text Box 4" o:spid="_x0000_s1027" type="#_x0000_t202" style="position:absolute;margin-left:269pt;margin-top:16.5pt;width:279pt;height:83.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" fillcolor="white [3201]" strokeweight=".5pt">
                <v:textbox>
                  <w:txbxContent>
                    <w:p w14:paraId="42C6A34E" w14:textId="77777777" w:rsidR="00840204" w:rsidRDefault="00840204">
                      <w:r>
                        <w:rPr>
                          <w:noProof/>
                        </w:rPr>
                        <w:drawing>
                          <wp:inline distT="0" distB="0" distL="0" distR="0" wp14:anchorId="42C6A34F" wp14:editId="42C6A350">
                            <wp:extent cx="1466850" cy="1005840"/>
                            <wp:effectExtent l="0" t="0" r="0" b="3810"/>
                            <wp:docPr id="3" name="Picture 2">
                              <a:extLst xmlns:a="http://schemas.openxmlformats.org/drawingml/2006/main">
                                <a:ext uri="{FF2B5EF4-FFF2-40B4-BE49-F238E27FC236}">
                                  <a16:creationId xmlns:a16="http://schemas.microsoft.com/office/drawing/2014/main" id="{4D8F866B-FF59-45AA-B515-A95450E49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D8F866B-FF59-45AA-B515-A95450E49C00}"/>
                                        </a:ext>
                                      </a:extLst>
                                    </pic:cNvPr>
                                    <pic:cNvPicPr>
                                      <a:picLocks noChangeAspect="1"/>
                                    </pic:cNvPicPr>
                                  </pic:nvPicPr>
                                  <pic:blipFill>
                                    <a:blip r:embed="rId8"/>
                                    <a:stretch>
                                      <a:fillRect/>
                                    </a:stretch>
                                  </pic:blipFill>
                                  <pic:spPr>
                                    <a:xfrm>
                                      <a:off x="0" y="0"/>
                                      <a:ext cx="1473543" cy="1010429"/>
                                    </a:xfrm>
                                    <a:prstGeom prst="rect">
                                      <a:avLst/>
                                    </a:prstGeom>
                                  </pic:spPr>
                                </pic:pic>
                              </a:graphicData>
                            </a:graphic>
                          </wp:inline>
                        </w:drawing>
                      </w:r>
                      <w:r>
                        <w:rPr>
                          <w:noProof/>
                        </w:rPr>
                        <w:t xml:space="preserve">     </w:t>
                      </w:r>
                      <w:r>
                        <w:rPr>
                          <w:noProof/>
                        </w:rPr>
                        <w:drawing>
                          <wp:inline distT="0" distB="0" distL="0" distR="0" wp14:anchorId="42C6A351" wp14:editId="42C6A352">
                            <wp:extent cx="1645920" cy="979769"/>
                            <wp:effectExtent l="0" t="0" r="0" b="0"/>
                            <wp:docPr id="18" name="Picture 10">
                              <a:extLst xmlns:a="http://schemas.openxmlformats.org/drawingml/2006/main">
                                <a:ext uri="{FF2B5EF4-FFF2-40B4-BE49-F238E27FC236}">
                                  <a16:creationId xmlns:a16="http://schemas.microsoft.com/office/drawing/2014/main" id="{A936623A-A042-4543-A039-83DBFFE48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936623A-A042-4543-A039-83DBFFE48B96}"/>
                                        </a:ext>
                                      </a:extLst>
                                    </pic:cNvPr>
                                    <pic:cNvPicPr>
                                      <a:picLocks noChangeAspect="1"/>
                                    </pic:cNvPicPr>
                                  </pic:nvPicPr>
                                  <pic:blipFill>
                                    <a:blip r:embed="rId9"/>
                                    <a:stretch>
                                      <a:fillRect/>
                                    </a:stretch>
                                  </pic:blipFill>
                                  <pic:spPr>
                                    <a:xfrm flipH="1">
                                      <a:off x="0" y="0"/>
                                      <a:ext cx="1689591" cy="1005765"/>
                                    </a:xfrm>
                                    <a:prstGeom prst="rect">
                                      <a:avLst/>
                                    </a:prstGeom>
                                  </pic:spPr>
                                </pic:pic>
                              </a:graphicData>
                            </a:graphic>
                          </wp:inline>
                        </w:drawing>
                      </w:r>
                      <w:r>
                        <w:rPr>
                          <w:noProof/>
                        </w:rPr>
                        <w:t xml:space="preserve">                                                  </w:t>
                      </w:r>
                    </w:p>
                  </w:txbxContent>
                </v:textbox>
              </v:shape>
            </w:pict>
          </mc:Fallback>
        </mc:AlternateContent>
      </w:r>
      <w:r w:rsidR="00840204">
        <w:rPr>
          <w:color w:val="337AB7"/>
        </w:rPr>
        <w:t>17 Days in Harvey</w:t>
      </w:r>
      <w:r>
        <w:rPr>
          <w:color w:val="337AB7"/>
        </w:rPr>
        <w:tab/>
      </w:r>
    </w:p>
    <w:p w14:paraId="42C6A31C" w14:textId="59E17725" w:rsidR="00840204" w:rsidRDefault="006E1776" w:rsidP="005973B9">
      <w:pPr>
        <w:pStyle w:val="BodyText"/>
        <w:spacing w:before="73" w:line="198" w:lineRule="exact"/>
        <w:ind w:left="100" w:right="5987"/>
        <w:rPr>
          <w:rFonts w:ascii="Arial"/>
        </w:rPr>
      </w:pPr>
      <w:r>
        <w:rPr>
          <w:rFonts w:ascii="Arial"/>
        </w:rPr>
        <w:t>Lori Upton, RN, BSN, MS</w:t>
      </w:r>
      <w:r w:rsidR="00840204">
        <w:rPr>
          <w:rFonts w:ascii="Arial"/>
        </w:rPr>
        <w:t>, CEM</w:t>
      </w:r>
      <w:r w:rsidR="005973B9">
        <w:rPr>
          <w:rFonts w:ascii="Arial"/>
        </w:rPr>
        <w:t xml:space="preserve">, </w:t>
      </w:r>
      <w:r w:rsidR="00840204">
        <w:rPr>
          <w:rFonts w:ascii="Arial"/>
        </w:rPr>
        <w:t xml:space="preserve">Houston, Texas, </w:t>
      </w:r>
      <w:r w:rsidR="005973B9">
        <w:rPr>
          <w:rFonts w:ascii="Arial"/>
        </w:rPr>
        <w:t xml:space="preserve">USA </w:t>
      </w:r>
      <w:r w:rsidR="00840204">
        <w:rPr>
          <w:rFonts w:ascii="Arial"/>
        </w:rPr>
        <w:t xml:space="preserve"> </w:t>
      </w:r>
    </w:p>
    <w:p w14:paraId="42C6A31D" w14:textId="77777777" w:rsidR="005973B9" w:rsidRDefault="00840204" w:rsidP="005973B9">
      <w:pPr>
        <w:pStyle w:val="BodyText"/>
        <w:spacing w:before="73" w:line="198" w:lineRule="exact"/>
        <w:ind w:left="100" w:right="5987"/>
        <w:rPr>
          <w:rFonts w:ascii="Arial"/>
        </w:rPr>
      </w:pPr>
      <w:r>
        <w:rPr>
          <w:rFonts w:ascii="Arial"/>
        </w:rPr>
        <w:t>Lisa Spivey, Houston, Texas</w:t>
      </w:r>
      <w:r w:rsidR="005973B9">
        <w:rPr>
          <w:rFonts w:ascii="Arial"/>
        </w:rPr>
        <w:t>, USA</w:t>
      </w:r>
    </w:p>
    <w:p w14:paraId="42C6A31E" w14:textId="77777777" w:rsidR="00AE3E37" w:rsidRDefault="00AE3E37">
      <w:pPr>
        <w:pStyle w:val="BodyText"/>
        <w:rPr>
          <w:rFonts w:ascii="Arial"/>
          <w:sz w:val="20"/>
        </w:rPr>
      </w:pPr>
    </w:p>
    <w:p w14:paraId="42C6A31F" w14:textId="77777777" w:rsidR="00AE3E37" w:rsidRDefault="00AE3E37">
      <w:pPr>
        <w:pStyle w:val="BodyText"/>
        <w:spacing w:before="3"/>
        <w:rPr>
          <w:rFonts w:ascii="Arial"/>
          <w:sz w:val="21"/>
        </w:rPr>
      </w:pPr>
    </w:p>
    <w:p w14:paraId="42C6A320" w14:textId="77777777"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14:paraId="42C6A321" w14:textId="77777777" w:rsidR="00AE3E37" w:rsidRDefault="00840204" w:rsidP="00840204">
      <w:pPr>
        <w:pStyle w:val="Heading3"/>
        <w:spacing w:before="74" w:line="480" w:lineRule="auto"/>
      </w:pPr>
      <w:r w:rsidRPr="00840204">
        <w:rPr>
          <w:b w:val="0"/>
        </w:rPr>
        <w:t xml:space="preserve">With Hurricane Harvey, the </w:t>
      </w:r>
      <w:proofErr w:type="spellStart"/>
      <w:r w:rsidRPr="00840204">
        <w:rPr>
          <w:b w:val="0"/>
        </w:rPr>
        <w:t>SouthEast</w:t>
      </w:r>
      <w:proofErr w:type="spellEnd"/>
      <w:r w:rsidRPr="00840204">
        <w:rPr>
          <w:b w:val="0"/>
        </w:rPr>
        <w:t xml:space="preserve"> Texas Regional Advisory Council (SETRAC) faced a storm unlike any other. In 56 hours, just prior to landfall, Harvey strengthened from a tropical depression to a Category 4 hurricane. SETRAC is offering a behind-the-scenes look at the incident response at their Catastrophic Medical Operations Center, with details regarding the successful coordination of over a thousand facilities in a coalition that spans 25 counties that includes a population of 9.3 million people.</w:t>
      </w:r>
      <w:r w:rsidR="00A9710C" w:rsidRPr="00840204">
        <w:rPr>
          <w:b w:val="0"/>
        </w:rPr>
        <w:br w:type="column"/>
      </w:r>
    </w:p>
    <w:p w14:paraId="42C6A322" w14:textId="77777777" w:rsidR="00AE3E37" w:rsidRDefault="00AE3E37">
      <w:pPr>
        <w:pStyle w:val="BodyText"/>
        <w:spacing w:before="2"/>
        <w:rPr>
          <w:rFonts w:ascii="Arial"/>
          <w:b/>
          <w:sz w:val="16"/>
        </w:rPr>
      </w:pPr>
    </w:p>
    <w:p w14:paraId="42C6A32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2C6A324" w14:textId="637DCC6C" w:rsidR="005973B9" w:rsidRPr="00886300" w:rsidRDefault="001847BC" w:rsidP="00886300">
      <w:pPr>
        <w:tabs>
          <w:tab w:val="left" w:pos="384"/>
        </w:tabs>
        <w:spacing w:before="103" w:line="216" w:lineRule="exact"/>
        <w:ind w:left="99" w:right="138"/>
        <w:rPr>
          <w:sz w:val="18"/>
        </w:rPr>
      </w:pPr>
      <w:r w:rsidRPr="00886300">
        <w:rPr>
          <w:sz w:val="18"/>
        </w:rPr>
        <w:t>Flynn Stephen E</w:t>
      </w:r>
      <w:r w:rsidR="005973B9" w:rsidRPr="00886300">
        <w:rPr>
          <w:sz w:val="18"/>
        </w:rPr>
        <w:t xml:space="preserve"> (20</w:t>
      </w:r>
      <w:r w:rsidRPr="00886300">
        <w:rPr>
          <w:sz w:val="18"/>
        </w:rPr>
        <w:t>18</w:t>
      </w:r>
      <w:r w:rsidR="005973B9" w:rsidRPr="00886300">
        <w:rPr>
          <w:sz w:val="18"/>
        </w:rPr>
        <w:t xml:space="preserve">) </w:t>
      </w:r>
      <w:r w:rsidRPr="00886300">
        <w:rPr>
          <w:sz w:val="18"/>
        </w:rPr>
        <w:t xml:space="preserve">Higher Ground: The Sophisticated Healthcare Response of the </w:t>
      </w:r>
      <w:proofErr w:type="spellStart"/>
      <w:r w:rsidRPr="00886300">
        <w:rPr>
          <w:sz w:val="18"/>
        </w:rPr>
        <w:t>SouthEast</w:t>
      </w:r>
      <w:proofErr w:type="spellEnd"/>
      <w:r w:rsidRPr="00886300">
        <w:rPr>
          <w:sz w:val="18"/>
        </w:rPr>
        <w:t xml:space="preserve"> Texas Regional Advisory Council to Hurricane Harvey</w:t>
      </w:r>
      <w:r w:rsidR="005973B9" w:rsidRPr="00886300">
        <w:rPr>
          <w:sz w:val="18"/>
        </w:rPr>
        <w:t>.</w:t>
      </w:r>
      <w:r w:rsidR="00886300" w:rsidRPr="00886300">
        <w:rPr>
          <w:sz w:val="18"/>
        </w:rPr>
        <w:t xml:space="preserve"> Retrieved from </w:t>
      </w:r>
      <w:hyperlink r:id="rId12" w:history="1">
        <w:r w:rsidR="00886300" w:rsidRPr="00886300">
          <w:rPr>
            <w:rStyle w:val="Hyperlink"/>
            <w:sz w:val="18"/>
          </w:rPr>
          <w:t>https://globalresilience.northeastern.edu/resources/higher-ground-the-sophisticated-healthcare-response-of-the-southeast-texas-regional-advisory-council-to-hurricane-harvey/</w:t>
        </w:r>
      </w:hyperlink>
      <w:r w:rsidR="00886300" w:rsidRPr="00886300">
        <w:rPr>
          <w:sz w:val="18"/>
        </w:rPr>
        <w:t xml:space="preserve"> </w:t>
      </w:r>
      <w:bookmarkStart w:id="0" w:name="_GoBack"/>
      <w:bookmarkEnd w:id="0"/>
    </w:p>
    <w:p w14:paraId="31D2D051" w14:textId="77777777" w:rsidR="00886300" w:rsidRDefault="00886300" w:rsidP="00886300">
      <w:pPr>
        <w:tabs>
          <w:tab w:val="left" w:pos="384"/>
        </w:tabs>
        <w:spacing w:line="216" w:lineRule="exact"/>
        <w:ind w:right="137"/>
        <w:rPr>
          <w:sz w:val="18"/>
        </w:rPr>
      </w:pPr>
    </w:p>
    <w:p w14:paraId="42C6A325" w14:textId="4D0117FE" w:rsidR="00AE3E37" w:rsidRPr="008756E6" w:rsidRDefault="00C17196" w:rsidP="00886300">
      <w:pPr>
        <w:tabs>
          <w:tab w:val="left" w:pos="384"/>
        </w:tabs>
        <w:spacing w:line="216" w:lineRule="exact"/>
        <w:ind w:left="99" w:right="137"/>
      </w:pPr>
      <w:bookmarkStart w:id="1" w:name="_Hlk512072072"/>
      <w:r w:rsidRPr="00886300">
        <w:rPr>
          <w:sz w:val="18"/>
        </w:rPr>
        <w:t>Upton Lori</w:t>
      </w:r>
      <w:r w:rsidR="006E1776" w:rsidRPr="00886300">
        <w:rPr>
          <w:sz w:val="18"/>
        </w:rPr>
        <w:t xml:space="preserve"> (2018) Inside the Texas Catast</w:t>
      </w:r>
      <w:r w:rsidR="00886300" w:rsidRPr="00886300">
        <w:rPr>
          <w:sz w:val="18"/>
        </w:rPr>
        <w:t xml:space="preserve">rophic Medical Operations </w:t>
      </w:r>
      <w:bookmarkEnd w:id="1"/>
      <w:r w:rsidR="00886300" w:rsidRPr="00886300">
        <w:rPr>
          <w:sz w:val="18"/>
        </w:rPr>
        <w:t>C</w:t>
      </w:r>
      <w:r w:rsidR="006E1776" w:rsidRPr="00886300">
        <w:rPr>
          <w:sz w:val="18"/>
        </w:rPr>
        <w:t>enter</w:t>
      </w:r>
      <w:r w:rsidR="00886300" w:rsidRPr="00886300">
        <w:rPr>
          <w:sz w:val="18"/>
        </w:rPr>
        <w:t xml:space="preserve">. Public Health Emergency. Retrieved from  </w:t>
      </w:r>
      <w:hyperlink r:id="rId13" w:history="1">
        <w:r w:rsidR="00886300" w:rsidRPr="00886300">
          <w:rPr>
            <w:rStyle w:val="Hyperlink"/>
            <w:sz w:val="18"/>
          </w:rPr>
          <w:t>https://www.phe.gov/ASPRBlog/Pages/default.aspx</w:t>
        </w:r>
      </w:hyperlink>
    </w:p>
    <w:p w14:paraId="702F698C" w14:textId="77777777" w:rsidR="00AE3E37" w:rsidRDefault="00AE3E37" w:rsidP="00886300">
      <w:pPr>
        <w:spacing w:line="200" w:lineRule="exact"/>
        <w:ind w:left="99"/>
        <w:rPr>
          <w:rFonts w:ascii="Calibri" w:hAnsi="Calibri"/>
        </w:rPr>
      </w:pPr>
    </w:p>
    <w:p w14:paraId="6EC99329" w14:textId="77777777" w:rsidR="00886300" w:rsidRDefault="00886300" w:rsidP="00886300">
      <w:pPr>
        <w:spacing w:line="200" w:lineRule="exact"/>
        <w:ind w:left="99"/>
        <w:rPr>
          <w:rFonts w:ascii="Calibri" w:hAnsi="Calibri"/>
        </w:rPr>
      </w:pPr>
    </w:p>
    <w:p w14:paraId="749ABC70" w14:textId="20E2ACAC" w:rsidR="00886300" w:rsidRDefault="00886300" w:rsidP="00886300">
      <w:pPr>
        <w:spacing w:line="200" w:lineRule="exact"/>
        <w:ind w:left="99"/>
        <w:rPr>
          <w:sz w:val="18"/>
        </w:rPr>
      </w:pPr>
      <w:r>
        <w:rPr>
          <w:sz w:val="18"/>
        </w:rPr>
        <w:t>Hamilton</w:t>
      </w:r>
      <w:r w:rsidR="00C543D0">
        <w:rPr>
          <w:sz w:val="18"/>
        </w:rPr>
        <w:t xml:space="preserve"> Dougla</w:t>
      </w:r>
      <w:r w:rsidR="00796C85">
        <w:rPr>
          <w:sz w:val="18"/>
        </w:rPr>
        <w:t xml:space="preserve">s, </w:t>
      </w:r>
      <w:proofErr w:type="spellStart"/>
      <w:r w:rsidR="00796C85">
        <w:rPr>
          <w:sz w:val="18"/>
        </w:rPr>
        <w:t>Gavagan</w:t>
      </w:r>
      <w:proofErr w:type="spellEnd"/>
      <w:r w:rsidR="00C543D0">
        <w:rPr>
          <w:sz w:val="18"/>
        </w:rPr>
        <w:t xml:space="preserve"> </w:t>
      </w:r>
      <w:r w:rsidR="00796C85">
        <w:rPr>
          <w:sz w:val="18"/>
        </w:rPr>
        <w:t xml:space="preserve">Thomas, Smart Kieran, Weller </w:t>
      </w:r>
      <w:proofErr w:type="gramStart"/>
      <w:r w:rsidR="00796C85">
        <w:rPr>
          <w:sz w:val="18"/>
        </w:rPr>
        <w:t>N</w:t>
      </w:r>
      <w:r w:rsidR="00C543D0">
        <w:rPr>
          <w:sz w:val="18"/>
        </w:rPr>
        <w:t xml:space="preserve">ancy, </w:t>
      </w:r>
      <w:r>
        <w:rPr>
          <w:sz w:val="18"/>
        </w:rPr>
        <w:t xml:space="preserve"> </w:t>
      </w:r>
      <w:r w:rsidRPr="00886300">
        <w:rPr>
          <w:sz w:val="18"/>
        </w:rPr>
        <w:t>Upton</w:t>
      </w:r>
      <w:proofErr w:type="gramEnd"/>
      <w:r w:rsidRPr="00886300">
        <w:rPr>
          <w:sz w:val="18"/>
        </w:rPr>
        <w:t xml:space="preserve"> Lori </w:t>
      </w:r>
      <w:r w:rsidR="00796C85">
        <w:rPr>
          <w:sz w:val="18"/>
        </w:rPr>
        <w:t xml:space="preserve">, Havron </w:t>
      </w:r>
      <w:r w:rsidR="00C543D0">
        <w:rPr>
          <w:sz w:val="18"/>
        </w:rPr>
        <w:t xml:space="preserve">Douglas, </w:t>
      </w:r>
      <w:proofErr w:type="spellStart"/>
      <w:r w:rsidR="00C543D0">
        <w:rPr>
          <w:sz w:val="18"/>
        </w:rPr>
        <w:t>Fishkind</w:t>
      </w:r>
      <w:proofErr w:type="spellEnd"/>
      <w:r w:rsidR="00796C85">
        <w:rPr>
          <w:sz w:val="18"/>
        </w:rPr>
        <w:t xml:space="preserve"> </w:t>
      </w:r>
      <w:proofErr w:type="spellStart"/>
      <w:r w:rsidR="00C543D0">
        <w:rPr>
          <w:sz w:val="18"/>
        </w:rPr>
        <w:t>Avrim</w:t>
      </w:r>
      <w:proofErr w:type="spellEnd"/>
      <w:r w:rsidR="00C543D0">
        <w:rPr>
          <w:sz w:val="18"/>
        </w:rPr>
        <w:t xml:space="preserve">, Persse David, </w:t>
      </w:r>
      <w:r w:rsidR="00796C85">
        <w:rPr>
          <w:sz w:val="18"/>
        </w:rPr>
        <w:t xml:space="preserve">Shank </w:t>
      </w:r>
      <w:r w:rsidR="00C543D0">
        <w:rPr>
          <w:sz w:val="18"/>
        </w:rPr>
        <w:t>Pau</w:t>
      </w:r>
      <w:r w:rsidR="00796C85">
        <w:rPr>
          <w:sz w:val="18"/>
        </w:rPr>
        <w:t>l, Shah Umair and Mattox</w:t>
      </w:r>
      <w:r w:rsidR="00C543D0">
        <w:rPr>
          <w:sz w:val="18"/>
        </w:rPr>
        <w:t xml:space="preserve"> Kenneth </w:t>
      </w:r>
      <w:r w:rsidRPr="00886300">
        <w:rPr>
          <w:sz w:val="18"/>
        </w:rPr>
        <w:t>(20</w:t>
      </w:r>
      <w:r w:rsidR="00C543D0">
        <w:rPr>
          <w:sz w:val="18"/>
        </w:rPr>
        <w:t>09</w:t>
      </w:r>
      <w:r w:rsidRPr="00886300">
        <w:rPr>
          <w:sz w:val="18"/>
        </w:rPr>
        <w:t xml:space="preserve">) </w:t>
      </w:r>
      <w:r w:rsidR="00C543D0">
        <w:rPr>
          <w:sz w:val="18"/>
        </w:rPr>
        <w:t xml:space="preserve"> Houston’s Medical Disaster Response to Hurricane  Katrina: Part 2. Retrieved </w:t>
      </w:r>
      <w:proofErr w:type="gramStart"/>
      <w:r w:rsidR="00C543D0">
        <w:rPr>
          <w:sz w:val="18"/>
        </w:rPr>
        <w:t>from :</w:t>
      </w:r>
      <w:proofErr w:type="gramEnd"/>
      <w:r w:rsidR="00C543D0">
        <w:rPr>
          <w:sz w:val="18"/>
        </w:rPr>
        <w:t xml:space="preserve"> </w:t>
      </w:r>
      <w:hyperlink r:id="rId14" w:history="1">
        <w:r w:rsidR="00C543D0" w:rsidRPr="00BF7B35">
          <w:rPr>
            <w:rStyle w:val="Hyperlink"/>
            <w:sz w:val="18"/>
          </w:rPr>
          <w:t>http://www.annemergmed.com/article/S0196-0644(08)01909-4/abstract</w:t>
        </w:r>
      </w:hyperlink>
      <w:r w:rsidR="00C543D0">
        <w:rPr>
          <w:sz w:val="18"/>
        </w:rPr>
        <w:t xml:space="preserve"> </w:t>
      </w:r>
    </w:p>
    <w:p w14:paraId="7A2E6ECE" w14:textId="625DD184" w:rsidR="00076BFC" w:rsidRDefault="00076BFC" w:rsidP="00886300">
      <w:pPr>
        <w:spacing w:line="200" w:lineRule="exact"/>
        <w:ind w:left="99"/>
        <w:rPr>
          <w:sz w:val="18"/>
        </w:rPr>
      </w:pPr>
    </w:p>
    <w:p w14:paraId="443B9862" w14:textId="0A9FBB6C" w:rsidR="00076BFC" w:rsidRDefault="00796C85" w:rsidP="00886300">
      <w:pPr>
        <w:spacing w:line="200" w:lineRule="exact"/>
        <w:ind w:left="99"/>
        <w:rPr>
          <w:sz w:val="18"/>
        </w:rPr>
      </w:pPr>
      <w:r>
        <w:rPr>
          <w:sz w:val="18"/>
        </w:rPr>
        <w:t>Pierce Rush, Morley Sarah, West Theresa, Pentecost Percy, Upton Lori, Banks</w:t>
      </w:r>
      <w:r w:rsidR="00076BFC">
        <w:rPr>
          <w:sz w:val="18"/>
        </w:rPr>
        <w:t xml:space="preserve"> Laura (2016) Improving Long-Term Care Facility Disaster Preparedness and Response: A Literature Review. Retrieved from: </w:t>
      </w:r>
      <w:hyperlink r:id="rId15" w:history="1">
        <w:r w:rsidR="00076BFC" w:rsidRPr="00BF7B35">
          <w:rPr>
            <w:rStyle w:val="Hyperlink"/>
            <w:sz w:val="18"/>
          </w:rPr>
          <w:t>https://www.cambridge.org/core/services/aop-cambridge-core/content/view/E7022CC0520D6FFE019B6CF24A0B2AC5/S1935789316000598a.pdf/improving_longterm_care_facility_disaster_preparedness_and_response_a_literature_review.pdf</w:t>
        </w:r>
      </w:hyperlink>
    </w:p>
    <w:p w14:paraId="0FB05305" w14:textId="31A4D154" w:rsidR="00076BFC" w:rsidRDefault="00076BFC" w:rsidP="00886300">
      <w:pPr>
        <w:spacing w:line="200" w:lineRule="exact"/>
        <w:ind w:left="99"/>
        <w:rPr>
          <w:sz w:val="18"/>
        </w:rPr>
      </w:pPr>
    </w:p>
    <w:p w14:paraId="1AFF4561" w14:textId="0B7EB307" w:rsidR="00076BFC" w:rsidRDefault="00076BFC" w:rsidP="00886300">
      <w:pPr>
        <w:spacing w:line="200" w:lineRule="exact"/>
        <w:ind w:left="99"/>
        <w:rPr>
          <w:sz w:val="18"/>
        </w:rPr>
      </w:pPr>
      <w:r>
        <w:rPr>
          <w:sz w:val="18"/>
        </w:rPr>
        <w:t>Upton Lori, Kirsch Thomas, Harvey Melissa, Hanfling Dan, (2017) Health Care Coalitions as Response Organizations: Houston</w:t>
      </w:r>
      <w:r w:rsidR="00054ED8">
        <w:rPr>
          <w:sz w:val="18"/>
        </w:rPr>
        <w:t xml:space="preserve"> after Hurricane Harvey. Retrieved from: </w:t>
      </w:r>
      <w:hyperlink r:id="rId16" w:history="1">
        <w:r w:rsidR="00054ED8" w:rsidRPr="00BF7B35">
          <w:rPr>
            <w:rStyle w:val="Hyperlink"/>
            <w:sz w:val="18"/>
          </w:rPr>
          <w:t>https://www.cambridge.org/core/journals/disaster-medicine-and-public-health-preparedness/article/health-care-coalitions-as-response-organizations-houston-after-hurricane-harvey/65743EE4F17718DF05E9FC212BB17F0D</w:t>
        </w:r>
      </w:hyperlink>
      <w:r w:rsidR="00054ED8">
        <w:rPr>
          <w:sz w:val="18"/>
        </w:rPr>
        <w:t xml:space="preserve"> </w:t>
      </w:r>
    </w:p>
    <w:p w14:paraId="2AC52832" w14:textId="77777777" w:rsidR="00076BFC" w:rsidRDefault="00076BFC" w:rsidP="00076BFC">
      <w:pPr>
        <w:spacing w:line="200" w:lineRule="exact"/>
        <w:rPr>
          <w:sz w:val="18"/>
        </w:rPr>
      </w:pPr>
    </w:p>
    <w:p w14:paraId="6E741EF6" w14:textId="77777777" w:rsidR="00076BFC" w:rsidRDefault="00076BFC" w:rsidP="00076BFC">
      <w:pPr>
        <w:spacing w:line="200" w:lineRule="exact"/>
        <w:rPr>
          <w:rFonts w:ascii="Calibri" w:hAnsi="Calibri"/>
        </w:rPr>
      </w:pPr>
    </w:p>
    <w:p w14:paraId="42C6A326" w14:textId="6CDFDAE9" w:rsidR="00076BFC" w:rsidRDefault="00076BFC" w:rsidP="00076BFC">
      <w:pPr>
        <w:spacing w:line="200" w:lineRule="exact"/>
        <w:rPr>
          <w:rFonts w:ascii="Calibri" w:hAnsi="Calibri"/>
        </w:rPr>
        <w:sectPr w:rsidR="00076BFC">
          <w:type w:val="continuous"/>
          <w:pgSz w:w="11910" w:h="16840"/>
          <w:pgMar w:top="1740" w:right="600" w:bottom="840" w:left="620" w:header="720" w:footer="720" w:gutter="0"/>
          <w:cols w:num="2" w:space="720" w:equalWidth="0">
            <w:col w:w="5214" w:space="138"/>
            <w:col w:w="5338"/>
          </w:cols>
        </w:sectPr>
      </w:pPr>
    </w:p>
    <w:p w14:paraId="42C6A327" w14:textId="77777777" w:rsidR="00AE3E37" w:rsidRDefault="00AE3E37">
      <w:pPr>
        <w:pStyle w:val="BodyText"/>
        <w:rPr>
          <w:rFonts w:ascii="Calibri"/>
          <w:sz w:val="20"/>
        </w:rPr>
      </w:pPr>
    </w:p>
    <w:p w14:paraId="42C6A32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2C6A337" wp14:editId="42C6A3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4EABE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C6A329" w14:textId="29AAAA14" w:rsidR="00AE3E37" w:rsidRDefault="008756E6" w:rsidP="00404E5B">
      <w:pPr>
        <w:spacing w:before="92"/>
        <w:ind w:right="4234"/>
        <w:rPr>
          <w:rFonts w:ascii="Arial"/>
        </w:rPr>
      </w:pPr>
      <w:r>
        <w:rPr>
          <w:noProof/>
        </w:rPr>
        <w:t xml:space="preserve">              </w:t>
      </w:r>
      <w:r>
        <w:rPr>
          <w:noProof/>
        </w:rPr>
        <w:drawing>
          <wp:inline distT="0" distB="0" distL="0" distR="0" wp14:anchorId="42C6A339" wp14:editId="025E293C">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B5212">
        <w:rPr>
          <w:rFonts w:ascii="Arial"/>
          <w:color w:val="BF5A14"/>
        </w:rPr>
        <w:t>Lori Upton, RN, BSN, CEM</w:t>
      </w:r>
    </w:p>
    <w:p w14:paraId="418F93CC" w14:textId="375529BF" w:rsidR="00225CD2" w:rsidRDefault="00AB5212">
      <w:pPr>
        <w:spacing w:before="41" w:line="154" w:lineRule="exact"/>
        <w:ind w:left="213" w:right="231"/>
        <w:jc w:val="both"/>
        <w:rPr>
          <w:rFonts w:ascii="Arial"/>
          <w:sz w:val="14"/>
        </w:rPr>
      </w:pPr>
      <w:r>
        <w:rPr>
          <w:rFonts w:ascii="Arial"/>
          <w:sz w:val="14"/>
        </w:rPr>
        <w:t xml:space="preserve">Lori Upton is the Director of Regional Preparedness for </w:t>
      </w:r>
      <w:proofErr w:type="spellStart"/>
      <w:r>
        <w:rPr>
          <w:rFonts w:ascii="Arial"/>
          <w:sz w:val="14"/>
        </w:rPr>
        <w:t>SouthEast</w:t>
      </w:r>
      <w:proofErr w:type="spellEnd"/>
      <w:r>
        <w:rPr>
          <w:rFonts w:ascii="Arial"/>
          <w:sz w:val="14"/>
        </w:rPr>
        <w:t xml:space="preserve"> Texas Regional Advisory Council.</w:t>
      </w:r>
      <w:r w:rsidR="00225CD2">
        <w:rPr>
          <w:rFonts w:ascii="Arial"/>
          <w:sz w:val="14"/>
        </w:rPr>
        <w:t xml:space="preserve"> Mrs. Upton has a </w:t>
      </w:r>
      <w:proofErr w:type="gramStart"/>
      <w:r w:rsidR="00225CD2">
        <w:rPr>
          <w:rFonts w:ascii="Arial"/>
          <w:sz w:val="14"/>
        </w:rPr>
        <w:t>Bachelor</w:t>
      </w:r>
      <w:r w:rsidR="00225CD2">
        <w:rPr>
          <w:rFonts w:ascii="Arial"/>
          <w:sz w:val="14"/>
        </w:rPr>
        <w:t>’</w:t>
      </w:r>
      <w:r w:rsidR="00225CD2">
        <w:rPr>
          <w:rFonts w:ascii="Arial"/>
          <w:sz w:val="14"/>
        </w:rPr>
        <w:t>s</w:t>
      </w:r>
      <w:proofErr w:type="gramEnd"/>
      <w:r w:rsidR="00225CD2">
        <w:rPr>
          <w:rFonts w:ascii="Arial"/>
          <w:sz w:val="14"/>
        </w:rPr>
        <w:t xml:space="preserve"> Degree in Nursing, a Master</w:t>
      </w:r>
      <w:r w:rsidR="00225CD2">
        <w:rPr>
          <w:rFonts w:ascii="Arial"/>
          <w:sz w:val="14"/>
        </w:rPr>
        <w:t>’</w:t>
      </w:r>
      <w:r w:rsidR="00225CD2">
        <w:rPr>
          <w:rFonts w:ascii="Arial"/>
          <w:sz w:val="14"/>
        </w:rPr>
        <w:t>s Degree in Emergency Management and is a Certified Emergency Manager. She has extensive clinical experience in emergency and trauma nursing and authored several peer-reviewed articles on medical components of disaster response and planning. She has also authored Disaster Chapter of Emergency Nurses Pediatric Course (ENPC) 4</w:t>
      </w:r>
      <w:r w:rsidR="00225CD2" w:rsidRPr="00225CD2">
        <w:rPr>
          <w:rFonts w:ascii="Arial"/>
          <w:sz w:val="14"/>
          <w:vertAlign w:val="superscript"/>
        </w:rPr>
        <w:t>th</w:t>
      </w:r>
      <w:r w:rsidR="00225CD2">
        <w:rPr>
          <w:rFonts w:ascii="Arial"/>
          <w:sz w:val="14"/>
        </w:rPr>
        <w:t xml:space="preserve"> ed. </w:t>
      </w:r>
      <w:r w:rsidR="00DC6EED">
        <w:rPr>
          <w:rFonts w:ascii="Arial"/>
          <w:sz w:val="14"/>
        </w:rPr>
        <w:t>Mrs. Upton has spoken nationally and internationally on coalition building and developing and integrating medical disaster planning and response. She was deployed on Federal disasters for Hurricane Andrew-Florida, September 11</w:t>
      </w:r>
      <w:r w:rsidR="00DC6EED" w:rsidRPr="00DC6EED">
        <w:rPr>
          <w:rFonts w:ascii="Arial"/>
          <w:sz w:val="14"/>
          <w:vertAlign w:val="superscript"/>
        </w:rPr>
        <w:t>th</w:t>
      </w:r>
      <w:r w:rsidR="00DC6EED">
        <w:rPr>
          <w:rFonts w:ascii="Arial"/>
          <w:sz w:val="14"/>
        </w:rPr>
        <w:t>- New York and for Texas deployments served as the Medical Operations Chief for Hurricane</w:t>
      </w:r>
      <w:r w:rsidR="00DC6EED">
        <w:rPr>
          <w:rFonts w:ascii="Arial"/>
          <w:sz w:val="14"/>
        </w:rPr>
        <w:t>’</w:t>
      </w:r>
      <w:r w:rsidR="00DC6EED">
        <w:rPr>
          <w:rFonts w:ascii="Arial"/>
          <w:sz w:val="14"/>
        </w:rPr>
        <w:t xml:space="preserve">s Katrina, Rita, Gustave, Ike and most recently Harvey. Mrs. Upton also serves on several local, state and national committees. </w:t>
      </w:r>
    </w:p>
    <w:p w14:paraId="42C6A32A" w14:textId="65F1A3A5" w:rsidR="00AE3E37" w:rsidRDefault="00AE3E37">
      <w:pPr>
        <w:spacing w:before="41" w:line="154" w:lineRule="exact"/>
        <w:ind w:left="213" w:right="231"/>
        <w:jc w:val="both"/>
        <w:rPr>
          <w:rFonts w:ascii="Arial"/>
          <w:sz w:val="14"/>
        </w:rPr>
      </w:pPr>
    </w:p>
    <w:p w14:paraId="42C6A32B" w14:textId="1E2964D5" w:rsidR="00AE3E37" w:rsidRDefault="00A9710C">
      <w:pPr>
        <w:spacing w:before="62"/>
        <w:ind w:left="4217" w:right="4235"/>
        <w:jc w:val="center"/>
        <w:rPr>
          <w:rFonts w:ascii="Arial"/>
          <w:sz w:val="14"/>
        </w:rPr>
      </w:pPr>
      <w:r>
        <w:rPr>
          <w:rFonts w:ascii="Arial"/>
          <w:sz w:val="14"/>
        </w:rPr>
        <w:t xml:space="preserve">Email: </w:t>
      </w:r>
      <w:r w:rsidR="00DC6EED">
        <w:rPr>
          <w:rFonts w:ascii="Arial"/>
          <w:sz w:val="14"/>
        </w:rPr>
        <w:t>Lori.Upton@setrac.org</w:t>
      </w:r>
    </w:p>
    <w:p w14:paraId="42C6A32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2C6A33B" wp14:editId="42C6A3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0A6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2C6A32D" w14:textId="77777777" w:rsidR="00AE3E37" w:rsidRDefault="00AE3E37">
      <w:pPr>
        <w:pStyle w:val="BodyText"/>
        <w:rPr>
          <w:rFonts w:ascii="Arial"/>
          <w:sz w:val="20"/>
        </w:rPr>
      </w:pPr>
    </w:p>
    <w:p w14:paraId="42C6A32E" w14:textId="2C7F33BB" w:rsidR="00AE3E37" w:rsidRDefault="00DC6EED">
      <w:pPr>
        <w:pStyle w:val="BodyText"/>
        <w:rPr>
          <w:rFonts w:ascii="Arial"/>
          <w:color w:val="BF5A14"/>
        </w:rPr>
      </w:pPr>
      <w:r>
        <w:rPr>
          <w:rFonts w:ascii="Arial"/>
          <w:sz w:val="20"/>
        </w:rPr>
        <w:t xml:space="preserve">                 </w:t>
      </w:r>
      <w:r>
        <w:rPr>
          <w:noProof/>
        </w:rPr>
        <w:drawing>
          <wp:inline distT="0" distB="0" distL="0" distR="0" wp14:anchorId="6E448D28" wp14:editId="6FE8FC05">
            <wp:extent cx="567053" cy="624102"/>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88108" cy="647275"/>
                    </a:xfrm>
                    <a:prstGeom prst="rect">
                      <a:avLst/>
                    </a:prstGeom>
                    <a:noFill/>
                    <a:ln>
                      <a:noFill/>
                    </a:ln>
                  </pic:spPr>
                </pic:pic>
              </a:graphicData>
            </a:graphic>
          </wp:inline>
        </w:drawing>
      </w:r>
      <w:r w:rsidRPr="00DC6EED">
        <w:rPr>
          <w:rFonts w:ascii="Arial"/>
          <w:color w:val="BF5A14"/>
        </w:rPr>
        <w:t xml:space="preserve"> </w:t>
      </w:r>
      <w:r>
        <w:rPr>
          <w:rFonts w:ascii="Arial"/>
          <w:color w:val="BF5A14"/>
        </w:rPr>
        <w:t>Lisa Spivey</w:t>
      </w:r>
    </w:p>
    <w:p w14:paraId="1BA81EC7" w14:textId="36AF15B4" w:rsidR="00DC6EED" w:rsidRPr="00DC6EED" w:rsidRDefault="00DC6EED" w:rsidP="00DC6EED">
      <w:pPr>
        <w:shd w:val="clear" w:color="auto" w:fill="FFFFFF"/>
        <w:jc w:val="both"/>
        <w:rPr>
          <w:rFonts w:ascii="Arial" w:eastAsia="Calibri" w:hAnsi="Arial" w:cs="Arial"/>
          <w:color w:val="111111"/>
          <w:sz w:val="14"/>
          <w:szCs w:val="14"/>
        </w:rPr>
      </w:pPr>
      <w:r w:rsidRPr="00DC6EED">
        <w:rPr>
          <w:rFonts w:ascii="Arial" w:eastAsia="Calibri" w:hAnsi="Arial" w:cs="Arial"/>
          <w:color w:val="111111"/>
          <w:sz w:val="14"/>
          <w:szCs w:val="14"/>
        </w:rPr>
        <w:t>Lisa Spivey is the Assistant Director, Preparedness Operations with the Southeast Texas Regional Advisory Council (SETRAC). In her current role Lisa leads a team of Coordinators providing preparedness initiatives</w:t>
      </w:r>
      <w:r w:rsidR="008B2BA2">
        <w:rPr>
          <w:rFonts w:ascii="Arial" w:eastAsia="Calibri" w:hAnsi="Arial" w:cs="Arial"/>
          <w:color w:val="111111"/>
          <w:sz w:val="14"/>
          <w:szCs w:val="14"/>
        </w:rPr>
        <w:t>,</w:t>
      </w:r>
      <w:r w:rsidRPr="00DC6EED">
        <w:rPr>
          <w:rFonts w:ascii="Arial" w:eastAsia="Calibri" w:hAnsi="Arial" w:cs="Arial"/>
          <w:color w:val="111111"/>
          <w:sz w:val="14"/>
          <w:szCs w:val="14"/>
        </w:rPr>
        <w:t xml:space="preserve"> and training. This </w:t>
      </w:r>
      <w:r w:rsidR="008B2BA2" w:rsidRPr="00DC6EED">
        <w:rPr>
          <w:rFonts w:ascii="Arial" w:eastAsia="Calibri" w:hAnsi="Arial" w:cs="Arial"/>
          <w:color w:val="111111"/>
          <w:sz w:val="14"/>
          <w:szCs w:val="14"/>
        </w:rPr>
        <w:t>team covers</w:t>
      </w:r>
      <w:r w:rsidRPr="00DC6EED">
        <w:rPr>
          <w:rFonts w:ascii="Arial" w:eastAsia="Calibri" w:hAnsi="Arial" w:cs="Arial"/>
          <w:color w:val="111111"/>
          <w:sz w:val="14"/>
          <w:szCs w:val="14"/>
        </w:rPr>
        <w:t xml:space="preserve"> the </w:t>
      </w:r>
      <w:r w:rsidR="008B2BA2" w:rsidRPr="00DC6EED">
        <w:rPr>
          <w:rFonts w:ascii="Arial" w:eastAsia="Calibri" w:hAnsi="Arial" w:cs="Arial"/>
          <w:color w:val="111111"/>
          <w:sz w:val="14"/>
          <w:szCs w:val="14"/>
        </w:rPr>
        <w:t>25-county</w:t>
      </w:r>
      <w:r w:rsidR="008B2BA2">
        <w:rPr>
          <w:rFonts w:ascii="Arial" w:eastAsia="Calibri" w:hAnsi="Arial" w:cs="Arial"/>
          <w:color w:val="111111"/>
          <w:sz w:val="14"/>
          <w:szCs w:val="14"/>
        </w:rPr>
        <w:t xml:space="preserve"> region, which includes 185 hospitals, 200 </w:t>
      </w:r>
      <w:r w:rsidR="008B2BA2" w:rsidRPr="00DC6EED">
        <w:rPr>
          <w:rFonts w:ascii="Arial" w:eastAsia="Calibri" w:hAnsi="Arial" w:cs="Arial"/>
          <w:color w:val="111111"/>
          <w:sz w:val="14"/>
          <w:szCs w:val="14"/>
        </w:rPr>
        <w:t>EMS</w:t>
      </w:r>
      <w:r w:rsidRPr="00DC6EED">
        <w:rPr>
          <w:rFonts w:ascii="Arial" w:eastAsia="Calibri" w:hAnsi="Arial" w:cs="Arial"/>
          <w:color w:val="111111"/>
          <w:sz w:val="14"/>
          <w:szCs w:val="14"/>
        </w:rPr>
        <w:t>, Fire</w:t>
      </w:r>
      <w:r w:rsidR="008B2BA2">
        <w:rPr>
          <w:rFonts w:ascii="Arial" w:eastAsia="Calibri" w:hAnsi="Arial" w:cs="Arial"/>
          <w:color w:val="111111"/>
          <w:sz w:val="14"/>
          <w:szCs w:val="14"/>
        </w:rPr>
        <w:t>, 900 nursing homes, and other first responder agencies.</w:t>
      </w:r>
    </w:p>
    <w:p w14:paraId="1BB1809A" w14:textId="77777777" w:rsidR="00DC6EED" w:rsidRPr="00DC6EED" w:rsidRDefault="00DC6EED" w:rsidP="00DC6EED">
      <w:pPr>
        <w:shd w:val="clear" w:color="auto" w:fill="FFFFFF"/>
        <w:jc w:val="both"/>
        <w:rPr>
          <w:rFonts w:ascii="Arial" w:eastAsia="Calibri" w:hAnsi="Arial" w:cs="Arial"/>
          <w:color w:val="111111"/>
          <w:sz w:val="14"/>
          <w:szCs w:val="14"/>
        </w:rPr>
      </w:pPr>
    </w:p>
    <w:p w14:paraId="039F524A" w14:textId="3B33B114" w:rsidR="00DC6EED" w:rsidRPr="00DC6EED" w:rsidRDefault="00DC6EED" w:rsidP="00DC6EED">
      <w:pPr>
        <w:shd w:val="clear" w:color="auto" w:fill="FFFFFF"/>
        <w:jc w:val="both"/>
        <w:rPr>
          <w:rFonts w:ascii="Arial" w:eastAsia="Calibri" w:hAnsi="Arial" w:cs="Arial"/>
          <w:color w:val="111111"/>
          <w:sz w:val="14"/>
          <w:szCs w:val="14"/>
        </w:rPr>
      </w:pPr>
      <w:r w:rsidRPr="00DC6EED">
        <w:rPr>
          <w:rFonts w:ascii="Arial" w:eastAsia="Calibri" w:hAnsi="Arial" w:cs="Arial"/>
          <w:color w:val="111111"/>
          <w:sz w:val="14"/>
          <w:szCs w:val="14"/>
        </w:rPr>
        <w:t>Lisa is well educated in emergency management, having spent many years in local emergency rooms, wh</w:t>
      </w:r>
      <w:r w:rsidR="008B2BA2">
        <w:rPr>
          <w:rFonts w:ascii="Arial" w:eastAsia="Calibri" w:hAnsi="Arial" w:cs="Arial"/>
          <w:color w:val="111111"/>
          <w:sz w:val="14"/>
          <w:szCs w:val="14"/>
        </w:rPr>
        <w:t>ere she performed the role as</w:t>
      </w:r>
      <w:r w:rsidRPr="00DC6EED">
        <w:rPr>
          <w:rFonts w:ascii="Arial" w:eastAsia="Calibri" w:hAnsi="Arial" w:cs="Arial"/>
          <w:color w:val="111111"/>
          <w:sz w:val="14"/>
          <w:szCs w:val="14"/>
        </w:rPr>
        <w:t xml:space="preserve"> the Emergency Management Coordinator. Her vast experience also includes coordinating the evacuation of two facilities</w:t>
      </w:r>
      <w:r w:rsidR="008B2BA2">
        <w:rPr>
          <w:rFonts w:ascii="Arial" w:eastAsia="Calibri" w:hAnsi="Arial" w:cs="Arial"/>
          <w:color w:val="111111"/>
          <w:sz w:val="14"/>
          <w:szCs w:val="14"/>
        </w:rPr>
        <w:t xml:space="preserve"> during Hurricane Rita. She </w:t>
      </w:r>
      <w:r w:rsidR="008B2BA2" w:rsidRPr="00DC6EED">
        <w:rPr>
          <w:rFonts w:ascii="Arial" w:eastAsia="Calibri" w:hAnsi="Arial" w:cs="Arial"/>
          <w:color w:val="111111"/>
          <w:sz w:val="14"/>
          <w:szCs w:val="14"/>
        </w:rPr>
        <w:t>worked</w:t>
      </w:r>
      <w:r w:rsidRPr="00DC6EED">
        <w:rPr>
          <w:rFonts w:ascii="Arial" w:eastAsia="Calibri" w:hAnsi="Arial" w:cs="Arial"/>
          <w:color w:val="111111"/>
          <w:sz w:val="14"/>
          <w:szCs w:val="14"/>
        </w:rPr>
        <w:t xml:space="preserve"> in the Catastrophic Medical Operation Center (CMOC) in Houston during Hurricane Rita, Hurricane Ike, and other regional incidents, coordinating and assisting with the evacuation of patients and repatriation. Mrs. Spivey was also deployed to West, Texas after the fertilizer plant explosion in 2013. Most recently, she was the Deputy Chief in CMOC for the Hurricane Harvey response</w:t>
      </w:r>
      <w:r w:rsidR="008B2BA2">
        <w:rPr>
          <w:rFonts w:ascii="Arial" w:eastAsia="Calibri" w:hAnsi="Arial" w:cs="Arial"/>
          <w:color w:val="111111"/>
          <w:sz w:val="14"/>
          <w:szCs w:val="14"/>
        </w:rPr>
        <w:t>.</w:t>
      </w:r>
    </w:p>
    <w:p w14:paraId="26F05F5B" w14:textId="77777777" w:rsidR="00DC6EED" w:rsidRDefault="00DC6EED">
      <w:pPr>
        <w:pStyle w:val="BodyText"/>
        <w:rPr>
          <w:rFonts w:ascii="Arial"/>
          <w:sz w:val="20"/>
        </w:rPr>
      </w:pPr>
    </w:p>
    <w:p w14:paraId="65CD97F1" w14:textId="7613F62E" w:rsidR="008B2BA2" w:rsidRPr="008B2BA2" w:rsidRDefault="00DC6EED" w:rsidP="008B2BA2">
      <w:pPr>
        <w:spacing w:before="62"/>
        <w:ind w:left="4217" w:right="4235"/>
        <w:jc w:val="center"/>
        <w:rPr>
          <w:rFonts w:ascii="Arial"/>
          <w:sz w:val="14"/>
        </w:rPr>
      </w:pPr>
      <w:r>
        <w:rPr>
          <w:rFonts w:ascii="Arial"/>
          <w:sz w:val="29"/>
        </w:rPr>
        <w:t xml:space="preserve">  </w:t>
      </w:r>
      <w:r w:rsidR="008B2BA2">
        <w:rPr>
          <w:rFonts w:ascii="Arial"/>
          <w:sz w:val="14"/>
        </w:rPr>
        <w:t xml:space="preserve">Email: </w:t>
      </w:r>
      <w:r w:rsidR="008B2BA2">
        <w:rPr>
          <w:rFonts w:ascii="Arial"/>
          <w:sz w:val="14"/>
        </w:rPr>
        <w:t>Lisa.Spivey</w:t>
      </w:r>
      <w:r w:rsidR="008B2BA2">
        <w:rPr>
          <w:rFonts w:ascii="Arial"/>
          <w:sz w:val="14"/>
        </w:rPr>
        <w:t>@</w:t>
      </w:r>
      <w:r w:rsidR="008B2BA2">
        <w:rPr>
          <w:rFonts w:ascii="Arial"/>
          <w:sz w:val="14"/>
        </w:rPr>
        <w:t>setrac.or</w:t>
      </w:r>
      <w:r w:rsidR="008B2BA2">
        <w:rPr>
          <w:noProof/>
        </w:rPr>
        <mc:AlternateContent>
          <mc:Choice Requires="wps">
            <w:drawing>
              <wp:anchor distT="0" distB="0" distL="0" distR="0" simplePos="0" relativeHeight="251657728" behindDoc="0" locked="0" layoutInCell="1" allowOverlap="1" wp14:anchorId="1B4AD4CA" wp14:editId="20D213DD">
                <wp:simplePos x="0" y="0"/>
                <wp:positionH relativeFrom="page">
                  <wp:posOffset>2058670</wp:posOffset>
                </wp:positionH>
                <wp:positionV relativeFrom="paragraph">
                  <wp:posOffset>168275</wp:posOffset>
                </wp:positionV>
                <wp:extent cx="3442335" cy="0"/>
                <wp:effectExtent l="10795" t="6985" r="13970" b="1206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BDB4F"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sidR="008B2BA2">
        <w:rPr>
          <w:rFonts w:ascii="Arial"/>
          <w:sz w:val="14"/>
        </w:rPr>
        <w:t>g</w:t>
      </w:r>
    </w:p>
    <w:p w14:paraId="42C6A32F" w14:textId="0A8437FD" w:rsidR="00AE3E37" w:rsidRDefault="00AE3E37">
      <w:pPr>
        <w:pStyle w:val="BodyText"/>
        <w:spacing w:before="7"/>
        <w:rPr>
          <w:rFonts w:ascii="Arial"/>
          <w:sz w:val="29"/>
        </w:rPr>
      </w:pPr>
    </w:p>
    <w:p w14:paraId="42C6A330" w14:textId="77777777" w:rsidR="00AE3E37" w:rsidRPr="00B21A57" w:rsidRDefault="00A9710C">
      <w:pPr>
        <w:spacing w:before="39"/>
        <w:ind w:left="100"/>
        <w:rPr>
          <w:rFonts w:ascii="Minion Pro"/>
          <w:b/>
          <w:sz w:val="20"/>
        </w:rPr>
      </w:pPr>
      <w:r w:rsidRPr="00B21A57">
        <w:rPr>
          <w:rFonts w:ascii="Minion Pro"/>
          <w:b/>
          <w:sz w:val="20"/>
        </w:rPr>
        <w:t>Notes/Comments:</w:t>
      </w:r>
    </w:p>
    <w:p w14:paraId="42C6A33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C6A33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6A33F" w14:textId="77777777" w:rsidR="006361CC" w:rsidRDefault="006361CC">
      <w:r>
        <w:separator/>
      </w:r>
    </w:p>
  </w:endnote>
  <w:endnote w:type="continuationSeparator" w:id="0">
    <w:p w14:paraId="42C6A340" w14:textId="77777777" w:rsidR="006361CC" w:rsidRDefault="0063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6A34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2C6A347" wp14:editId="42C6A34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6A3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C6A3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6A347"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2C6A3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C6A3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2C6A349" wp14:editId="42C6A3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6A3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C6A35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6A349"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2C6A3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C6A35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C6A34B" wp14:editId="42C6A3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6A35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2C6A3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6A34B"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2C6A35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2C6A3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6A33D" w14:textId="77777777" w:rsidR="006361CC" w:rsidRDefault="006361CC">
      <w:r>
        <w:separator/>
      </w:r>
    </w:p>
  </w:footnote>
  <w:footnote w:type="continuationSeparator" w:id="0">
    <w:p w14:paraId="42C6A33E" w14:textId="77777777" w:rsidR="006361CC" w:rsidRDefault="00636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6A341" w14:textId="28BF6115"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2C6A343" wp14:editId="42C6A34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6A353"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6A343"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2C6A353"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47797B"/>
    <w:multiLevelType w:val="hybridMultilevel"/>
    <w:tmpl w:val="5C30F4B8"/>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53300"/>
    <w:rsid w:val="00054ED8"/>
    <w:rsid w:val="00076BFC"/>
    <w:rsid w:val="000E2911"/>
    <w:rsid w:val="001263DF"/>
    <w:rsid w:val="001847BC"/>
    <w:rsid w:val="00225CD2"/>
    <w:rsid w:val="00292ED9"/>
    <w:rsid w:val="00404E5B"/>
    <w:rsid w:val="00414F7B"/>
    <w:rsid w:val="004355DC"/>
    <w:rsid w:val="004749B4"/>
    <w:rsid w:val="00494130"/>
    <w:rsid w:val="004F3523"/>
    <w:rsid w:val="005973B9"/>
    <w:rsid w:val="005B3A56"/>
    <w:rsid w:val="006060CE"/>
    <w:rsid w:val="00606568"/>
    <w:rsid w:val="0063497F"/>
    <w:rsid w:val="006361CC"/>
    <w:rsid w:val="006E1776"/>
    <w:rsid w:val="00796C85"/>
    <w:rsid w:val="00840204"/>
    <w:rsid w:val="00873DF0"/>
    <w:rsid w:val="008756E6"/>
    <w:rsid w:val="00886300"/>
    <w:rsid w:val="008B2BA2"/>
    <w:rsid w:val="009B2D44"/>
    <w:rsid w:val="00A07E82"/>
    <w:rsid w:val="00A9710C"/>
    <w:rsid w:val="00AB5212"/>
    <w:rsid w:val="00AE3E37"/>
    <w:rsid w:val="00B21A57"/>
    <w:rsid w:val="00C17196"/>
    <w:rsid w:val="00C22ACD"/>
    <w:rsid w:val="00C33602"/>
    <w:rsid w:val="00C543D0"/>
    <w:rsid w:val="00CD6F55"/>
    <w:rsid w:val="00DC6EE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C6A31B"/>
  <w15:docId w15:val="{B8C4D476-1EB9-4074-A3AE-FC831A9F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8630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27392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he.gov/ASPRBlog/Pages/default.aspx"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lobalresilience.northeastern.edu/resources/higher-ground-the-sophisticated-healthcare-response-of-the-southeast-texas-regional-advisory-council-to-hurricane-harvey/" TargetMode="External"/><Relationship Id="rId17"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hyperlink" Target="https://www.cambridge.org/core/journals/disaster-medicine-and-public-health-preparedness/article/health-care-coalitions-as-response-organizations-houston-after-hurricane-harvey/65743EE4F17718DF05E9FC212BB17F0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ambridge.org/core/services/aop-cambridge-core/content/view/E7022CC0520D6FFE019B6CF24A0B2AC5/S1935789316000598a.pdf/improving_longterm_care_facility_disaster_preparedness_and_response_a_literature_review.pdf"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nnemergmed.com/article/S0196-0644(08)01909-4/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D1610-87A0-4D3C-BD06-12ED61AAD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Lisa Spivey</cp:lastModifiedBy>
  <cp:revision>2</cp:revision>
  <dcterms:created xsi:type="dcterms:W3CDTF">2018-04-21T16:39:00Z</dcterms:created>
  <dcterms:modified xsi:type="dcterms:W3CDTF">2018-04-21T16:39:00Z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