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438" w:rsidRPr="00B522BE" w:rsidRDefault="00B522BE">
      <w:pPr>
        <w:rPr>
          <w:sz w:val="24"/>
          <w:szCs w:val="24"/>
        </w:rPr>
      </w:pPr>
      <w:bookmarkStart w:id="0" w:name="page1"/>
      <w:bookmarkStart w:id="1" w:name="_GoBack"/>
      <w:bookmarkEnd w:id="0"/>
      <w:bookmarkEnd w:id="1"/>
      <w:r w:rsidRPr="00B522BE">
        <w:rPr>
          <w:rFonts w:eastAsia="Arial"/>
          <w:b/>
          <w:bCs/>
          <w:sz w:val="24"/>
          <w:szCs w:val="24"/>
        </w:rPr>
        <w:t>Antibacterial effect by nickel oxide on Ecoli (MTCC 739) model</w:t>
      </w:r>
    </w:p>
    <w:p w:rsidR="00DB6438" w:rsidRPr="00B522BE" w:rsidRDefault="00DB6438">
      <w:pPr>
        <w:spacing w:line="200" w:lineRule="exact"/>
        <w:rPr>
          <w:sz w:val="24"/>
          <w:szCs w:val="24"/>
        </w:rPr>
      </w:pPr>
    </w:p>
    <w:p w:rsidR="00DB6438" w:rsidRPr="00B522BE" w:rsidRDefault="00DB6438">
      <w:pPr>
        <w:spacing w:line="200" w:lineRule="exact"/>
        <w:rPr>
          <w:sz w:val="24"/>
          <w:szCs w:val="24"/>
        </w:rPr>
      </w:pPr>
    </w:p>
    <w:p w:rsidR="00DB6438" w:rsidRPr="00B522BE" w:rsidRDefault="00DB6438">
      <w:pPr>
        <w:spacing w:line="315" w:lineRule="exact"/>
        <w:rPr>
          <w:sz w:val="24"/>
          <w:szCs w:val="24"/>
        </w:rPr>
      </w:pPr>
    </w:p>
    <w:p w:rsidR="00DB6438" w:rsidRPr="00B522BE" w:rsidRDefault="00B522BE">
      <w:pPr>
        <w:spacing w:line="281" w:lineRule="auto"/>
        <w:ind w:right="880"/>
        <w:rPr>
          <w:sz w:val="24"/>
          <w:szCs w:val="24"/>
        </w:rPr>
      </w:pPr>
      <w:r w:rsidRPr="00B522BE">
        <w:rPr>
          <w:rFonts w:eastAsia="Arial"/>
          <w:sz w:val="24"/>
          <w:szCs w:val="24"/>
        </w:rPr>
        <w:t>Authors: Dr. Mahvish Fatima</w:t>
      </w:r>
      <w:r w:rsidRPr="00B522BE">
        <w:rPr>
          <w:rFonts w:eastAsia="Arial"/>
          <w:sz w:val="24"/>
          <w:szCs w:val="24"/>
          <w:vertAlign w:val="superscript"/>
        </w:rPr>
        <w:t>1</w:t>
      </w:r>
      <w:r w:rsidRPr="00B522BE">
        <w:rPr>
          <w:rFonts w:eastAsia="Arial"/>
          <w:sz w:val="24"/>
          <w:szCs w:val="24"/>
        </w:rPr>
        <w:t>, Dr. Hammad aziz</w:t>
      </w:r>
      <w:r w:rsidRPr="00B522BE">
        <w:rPr>
          <w:rFonts w:eastAsia="Arial"/>
          <w:sz w:val="24"/>
          <w:szCs w:val="24"/>
          <w:vertAlign w:val="superscript"/>
        </w:rPr>
        <w:t>2</w:t>
      </w:r>
      <w:r w:rsidRPr="00B522BE">
        <w:rPr>
          <w:rFonts w:eastAsia="Arial"/>
          <w:sz w:val="24"/>
          <w:szCs w:val="24"/>
        </w:rPr>
        <w:t>, Prof. Dr. fazal-e-aleem</w:t>
      </w:r>
      <w:r w:rsidRPr="00B522BE">
        <w:rPr>
          <w:rFonts w:eastAsia="Arial"/>
          <w:sz w:val="24"/>
          <w:szCs w:val="24"/>
          <w:vertAlign w:val="superscript"/>
        </w:rPr>
        <w:t>1</w:t>
      </w:r>
      <w:r w:rsidRPr="00B522BE">
        <w:rPr>
          <w:rFonts w:eastAsia="Arial"/>
          <w:sz w:val="24"/>
          <w:szCs w:val="24"/>
        </w:rPr>
        <w:t>, fozia shaheen</w:t>
      </w:r>
      <w:r w:rsidRPr="00B522BE">
        <w:rPr>
          <w:rFonts w:eastAsia="Arial"/>
          <w:sz w:val="24"/>
          <w:szCs w:val="24"/>
          <w:vertAlign w:val="superscript"/>
        </w:rPr>
        <w:t>3</w:t>
      </w:r>
      <w:r w:rsidRPr="00B522BE">
        <w:rPr>
          <w:rFonts w:eastAsia="Arial"/>
          <w:sz w:val="24"/>
          <w:szCs w:val="24"/>
        </w:rPr>
        <w:t>, Humera Humayun</w:t>
      </w:r>
      <w:proofErr w:type="gramStart"/>
      <w:r w:rsidRPr="00B522BE">
        <w:rPr>
          <w:rFonts w:eastAsia="Arial"/>
          <w:sz w:val="24"/>
          <w:szCs w:val="24"/>
          <w:vertAlign w:val="superscript"/>
        </w:rPr>
        <w:t>1</w:t>
      </w:r>
      <w:r w:rsidRPr="00B522BE">
        <w:rPr>
          <w:rFonts w:eastAsia="Arial"/>
          <w:sz w:val="24"/>
          <w:szCs w:val="24"/>
        </w:rPr>
        <w:t xml:space="preserve"> ,</w:t>
      </w:r>
      <w:proofErr w:type="gramEnd"/>
      <w:r w:rsidRPr="00B522BE">
        <w:rPr>
          <w:rFonts w:eastAsia="Arial"/>
          <w:sz w:val="24"/>
          <w:szCs w:val="24"/>
        </w:rPr>
        <w:t xml:space="preserve"> Dr Zeeshan</w:t>
      </w:r>
      <w:r w:rsidRPr="00B522BE">
        <w:rPr>
          <w:rFonts w:eastAsia="Arial"/>
          <w:sz w:val="24"/>
          <w:szCs w:val="24"/>
          <w:vertAlign w:val="superscript"/>
        </w:rPr>
        <w:t>1</w:t>
      </w:r>
    </w:p>
    <w:p w:rsidR="00DB6438" w:rsidRPr="00B522BE" w:rsidRDefault="00DB6438">
      <w:pPr>
        <w:spacing w:line="162" w:lineRule="exact"/>
        <w:rPr>
          <w:sz w:val="24"/>
          <w:szCs w:val="24"/>
        </w:rPr>
      </w:pPr>
    </w:p>
    <w:p w:rsidR="00DB6438" w:rsidRPr="00B522BE" w:rsidRDefault="00B522BE">
      <w:pPr>
        <w:rPr>
          <w:sz w:val="24"/>
          <w:szCs w:val="24"/>
        </w:rPr>
      </w:pPr>
      <w:r w:rsidRPr="00B522BE">
        <w:rPr>
          <w:rFonts w:eastAsia="Times New Roman"/>
          <w:sz w:val="24"/>
          <w:szCs w:val="24"/>
        </w:rPr>
        <w:t>Corresponding Author: Dr Mahvish</w:t>
      </w:r>
      <w:r w:rsidRPr="00B522BE">
        <w:rPr>
          <w:rFonts w:eastAsia="Times New Roman"/>
          <w:sz w:val="24"/>
          <w:szCs w:val="24"/>
          <w:vertAlign w:val="superscript"/>
        </w:rPr>
        <w:t>1</w:t>
      </w:r>
      <w:r w:rsidRPr="00B522BE">
        <w:rPr>
          <w:rFonts w:eastAsia="Times New Roman"/>
          <w:sz w:val="24"/>
          <w:szCs w:val="24"/>
        </w:rPr>
        <w:t xml:space="preserve">, Dr Hammad Aziz </w:t>
      </w:r>
      <w:r w:rsidRPr="00B522BE">
        <w:rPr>
          <w:rFonts w:eastAsia="Times New Roman"/>
          <w:sz w:val="24"/>
          <w:szCs w:val="24"/>
          <w:vertAlign w:val="superscript"/>
        </w:rPr>
        <w:t>2</w:t>
      </w:r>
    </w:p>
    <w:p w:rsidR="00DB6438" w:rsidRPr="00B522BE" w:rsidRDefault="00DB6438">
      <w:pPr>
        <w:spacing w:line="286" w:lineRule="exact"/>
        <w:rPr>
          <w:sz w:val="24"/>
          <w:szCs w:val="24"/>
        </w:rPr>
      </w:pPr>
    </w:p>
    <w:p w:rsidR="00B522BE" w:rsidRDefault="00B522BE">
      <w:pPr>
        <w:spacing w:line="312" w:lineRule="auto"/>
        <w:ind w:right="2300"/>
        <w:rPr>
          <w:rFonts w:eastAsia="Times New Roman"/>
          <w:sz w:val="24"/>
          <w:szCs w:val="24"/>
        </w:rPr>
      </w:pPr>
      <w:r w:rsidRPr="00B522BE">
        <w:rPr>
          <w:rFonts w:eastAsia="Times New Roman"/>
          <w:sz w:val="24"/>
          <w:szCs w:val="24"/>
        </w:rPr>
        <w:t xml:space="preserve">email: </w:t>
      </w:r>
      <w:hyperlink r:id="rId5">
        <w:r w:rsidRPr="00B522BE">
          <w:rPr>
            <w:rFonts w:eastAsia="Times New Roman"/>
            <w:sz w:val="24"/>
            <w:szCs w:val="24"/>
            <w:u w:val="single"/>
          </w:rPr>
          <w:t>mahvish.fatima@phys.uol.edu.pk</w:t>
        </w:r>
        <w:r w:rsidRPr="00B522BE">
          <w:rPr>
            <w:rFonts w:eastAsia="Times New Roman"/>
            <w:sz w:val="24"/>
            <w:szCs w:val="24"/>
            <w:u w:val="single"/>
          </w:rPr>
          <w:t xml:space="preserve">, </w:t>
        </w:r>
      </w:hyperlink>
      <w:hyperlink r:id="rId6" w:history="1">
        <w:r w:rsidRPr="00F32FD4">
          <w:rPr>
            <w:rStyle w:val="Hyperlink"/>
            <w:rFonts w:eastAsia="Times New Roman"/>
            <w:sz w:val="24"/>
            <w:szCs w:val="24"/>
          </w:rPr>
          <w:t>hammadaziz@ciitlahore.edu.pk</w:t>
        </w:r>
      </w:hyperlink>
      <w:r w:rsidRPr="00B522BE">
        <w:rPr>
          <w:rFonts w:eastAsia="Times New Roman"/>
          <w:sz w:val="24"/>
          <w:szCs w:val="24"/>
        </w:rPr>
        <w:t xml:space="preserve"> </w:t>
      </w:r>
    </w:p>
    <w:p w:rsidR="00B522BE" w:rsidRDefault="00B522BE">
      <w:pPr>
        <w:spacing w:line="312" w:lineRule="auto"/>
        <w:ind w:right="2300"/>
        <w:rPr>
          <w:rFonts w:eastAsia="Times New Roman"/>
          <w:sz w:val="24"/>
          <w:szCs w:val="24"/>
        </w:rPr>
      </w:pPr>
    </w:p>
    <w:p w:rsidR="00DB6438" w:rsidRPr="00B522BE" w:rsidRDefault="00B522BE">
      <w:pPr>
        <w:spacing w:line="312" w:lineRule="auto"/>
        <w:ind w:right="2300"/>
        <w:rPr>
          <w:rFonts w:eastAsia="Times New Roman"/>
          <w:sz w:val="24"/>
          <w:szCs w:val="24"/>
          <w:vertAlign w:val="superscript"/>
        </w:rPr>
      </w:pPr>
      <w:r w:rsidRPr="00B522BE">
        <w:rPr>
          <w:rFonts w:eastAsia="Times New Roman"/>
          <w:sz w:val="24"/>
          <w:szCs w:val="24"/>
          <w:vertAlign w:val="superscript"/>
        </w:rPr>
        <w:t>1</w:t>
      </w:r>
      <w:r w:rsidRPr="00B522BE">
        <w:rPr>
          <w:rFonts w:eastAsia="Times New Roman"/>
          <w:sz w:val="24"/>
          <w:szCs w:val="24"/>
        </w:rPr>
        <w:t>The University of Lahore</w:t>
      </w:r>
    </w:p>
    <w:p w:rsidR="00DB6438" w:rsidRPr="00B522BE" w:rsidRDefault="00DB6438">
      <w:pPr>
        <w:spacing w:line="152" w:lineRule="exact"/>
        <w:rPr>
          <w:sz w:val="24"/>
          <w:szCs w:val="24"/>
        </w:rPr>
      </w:pPr>
    </w:p>
    <w:p w:rsidR="00DB6438" w:rsidRPr="00B522BE" w:rsidRDefault="00B522BE">
      <w:pPr>
        <w:rPr>
          <w:sz w:val="24"/>
          <w:szCs w:val="24"/>
        </w:rPr>
      </w:pPr>
      <w:r w:rsidRPr="00B522BE">
        <w:rPr>
          <w:rFonts w:eastAsia="Times New Roman"/>
          <w:sz w:val="24"/>
          <w:szCs w:val="24"/>
          <w:vertAlign w:val="superscript"/>
        </w:rPr>
        <w:t>2</w:t>
      </w:r>
      <w:r w:rsidRPr="00B522BE">
        <w:rPr>
          <w:rFonts w:eastAsia="Times New Roman"/>
          <w:sz w:val="24"/>
          <w:szCs w:val="24"/>
        </w:rPr>
        <w:t>Comsats Institute of Information and Technology, Lahore</w:t>
      </w:r>
    </w:p>
    <w:p w:rsidR="00DB6438" w:rsidRPr="00B522BE" w:rsidRDefault="00DB6438">
      <w:pPr>
        <w:spacing w:line="181" w:lineRule="exact"/>
        <w:rPr>
          <w:sz w:val="24"/>
          <w:szCs w:val="24"/>
        </w:rPr>
      </w:pPr>
    </w:p>
    <w:p w:rsidR="00DB6438" w:rsidRPr="00B522BE" w:rsidRDefault="00B522BE">
      <w:pPr>
        <w:numPr>
          <w:ilvl w:val="0"/>
          <w:numId w:val="1"/>
        </w:numPr>
        <w:tabs>
          <w:tab w:val="left" w:pos="140"/>
        </w:tabs>
        <w:ind w:left="140" w:hanging="140"/>
        <w:rPr>
          <w:rFonts w:eastAsia="Times New Roman"/>
          <w:sz w:val="24"/>
          <w:szCs w:val="24"/>
          <w:vertAlign w:val="superscript"/>
        </w:rPr>
      </w:pPr>
      <w:r w:rsidRPr="00B522BE">
        <w:rPr>
          <w:rFonts w:eastAsia="Times New Roman"/>
          <w:sz w:val="24"/>
          <w:szCs w:val="24"/>
        </w:rPr>
        <w:t>Govt College University Lahore</w:t>
      </w:r>
    </w:p>
    <w:p w:rsidR="00DB6438" w:rsidRPr="00B522BE" w:rsidRDefault="00DB6438">
      <w:pPr>
        <w:spacing w:line="338" w:lineRule="exact"/>
        <w:rPr>
          <w:sz w:val="24"/>
          <w:szCs w:val="24"/>
        </w:rPr>
      </w:pPr>
    </w:p>
    <w:p w:rsidR="00DB6438" w:rsidRPr="00B522BE" w:rsidRDefault="00B522BE">
      <w:pPr>
        <w:rPr>
          <w:sz w:val="24"/>
          <w:szCs w:val="24"/>
        </w:rPr>
      </w:pPr>
      <w:r w:rsidRPr="00B522BE">
        <w:rPr>
          <w:rFonts w:eastAsia="Times New Roman"/>
          <w:sz w:val="24"/>
          <w:szCs w:val="24"/>
        </w:rPr>
        <w:t>Abstract</w:t>
      </w:r>
    </w:p>
    <w:p w:rsidR="00DB6438" w:rsidRPr="00B522BE" w:rsidRDefault="00DB6438">
      <w:pPr>
        <w:spacing w:line="148" w:lineRule="exact"/>
        <w:rPr>
          <w:sz w:val="24"/>
          <w:szCs w:val="24"/>
        </w:rPr>
      </w:pPr>
    </w:p>
    <w:p w:rsidR="00DB6438" w:rsidRPr="00B522BE" w:rsidRDefault="00B522BE">
      <w:pPr>
        <w:spacing w:line="359" w:lineRule="auto"/>
        <w:ind w:right="80"/>
        <w:rPr>
          <w:sz w:val="24"/>
          <w:szCs w:val="24"/>
        </w:rPr>
      </w:pPr>
      <w:r w:rsidRPr="00B522BE">
        <w:rPr>
          <w:rFonts w:eastAsia="Times New Roman"/>
          <w:sz w:val="24"/>
          <w:szCs w:val="24"/>
        </w:rPr>
        <w:t xml:space="preserve">Due to the </w:t>
      </w:r>
      <w:r w:rsidRPr="00B522BE">
        <w:rPr>
          <w:rFonts w:eastAsia="Times New Roman"/>
          <w:sz w:val="24"/>
          <w:szCs w:val="24"/>
        </w:rPr>
        <w:t>unmistakable concoction and physical properties of NiO NPs, they are capable in biomedical field especially in malignancy diagnostics. To enhance the parameters of photodynamic treatment (PDT) for their most noteworthy viability, the poisonous quality of n</w:t>
      </w:r>
      <w:r w:rsidRPr="00B522BE">
        <w:rPr>
          <w:rFonts w:eastAsia="Times New Roman"/>
          <w:sz w:val="24"/>
          <w:szCs w:val="24"/>
        </w:rPr>
        <w:t>ickel oxide (NiO NPs) was tried in an Ecoli (MTCC 739). NiO NPs were biosynthesized by green combination. Using a Scanning electron magnifying lens (SEM), a vitality dispersive X-beam examination (EDX) and a vibrating test magnetometer (VSM), morphological</w:t>
      </w:r>
      <w:r w:rsidRPr="00B522BE">
        <w:rPr>
          <w:rFonts w:eastAsia="Times New Roman"/>
          <w:sz w:val="24"/>
          <w:szCs w:val="24"/>
        </w:rPr>
        <w:t xml:space="preserve"> investigation and attractive conduct were analyzed. Phototoxicity and cytotoxicity impacts of nanomaterials were considered using the NiO only and also by conjugation with folic acid (FA) this was performed both oblivious and under laser introduction. Poi</w:t>
      </w:r>
      <w:r w:rsidRPr="00B522BE">
        <w:rPr>
          <w:rFonts w:eastAsia="Times New Roman"/>
          <w:sz w:val="24"/>
          <w:szCs w:val="24"/>
        </w:rPr>
        <w:t>sonous outcome for Ecoli (MTCC 739) were evaluated by an Aggar examine and by location of intracellular responsive oxygen species (ROS) creation. 10–200 nM of NiO NPs were connected to Ecoli in peri dishes. Greatest fatal of NiO NPs composite with FA was s</w:t>
      </w:r>
      <w:r w:rsidRPr="00B522BE">
        <w:rPr>
          <w:rFonts w:eastAsia="Times New Roman"/>
          <w:sz w:val="24"/>
          <w:szCs w:val="24"/>
        </w:rPr>
        <w:t>een at 80 J/cm2 and 200 nm where 45–50% calamity in cell practicality was watched. Investigation was performed on the trial results to confirm the value and clearness of results, with p-values = 0.000 and 0.002 respectively. Current outcomes make ready for</w:t>
      </w:r>
      <w:r w:rsidRPr="00B522BE">
        <w:rPr>
          <w:rFonts w:eastAsia="Times New Roman"/>
          <w:sz w:val="24"/>
          <w:szCs w:val="24"/>
        </w:rPr>
        <w:t xml:space="preserve"> a more levelheaded technique to overcome the problem of medication bioavailability in nanoparticulate focused on antibacterial treatment, which plays a dynamic part in clinical practice.</w:t>
      </w:r>
    </w:p>
    <w:p w:rsidR="00DB6438" w:rsidRPr="00B522BE" w:rsidRDefault="00DB6438">
      <w:pPr>
        <w:spacing w:line="385" w:lineRule="exact"/>
        <w:rPr>
          <w:sz w:val="24"/>
          <w:szCs w:val="24"/>
        </w:rPr>
      </w:pPr>
    </w:p>
    <w:p w:rsidR="00DB6438" w:rsidRPr="00B522BE" w:rsidRDefault="00B522BE">
      <w:pPr>
        <w:rPr>
          <w:sz w:val="24"/>
          <w:szCs w:val="24"/>
        </w:rPr>
      </w:pPr>
      <w:r w:rsidRPr="00B522BE">
        <w:rPr>
          <w:rFonts w:eastAsia="Times New Roman"/>
          <w:sz w:val="24"/>
          <w:szCs w:val="24"/>
        </w:rPr>
        <w:lastRenderedPageBreak/>
        <w:t>Key words: Biosynthesi</w:t>
      </w:r>
      <w:r w:rsidRPr="00B522BE">
        <w:rPr>
          <w:rFonts w:eastAsia="Times New Roman"/>
          <w:sz w:val="24"/>
          <w:szCs w:val="24"/>
        </w:rPr>
        <w:t>s,</w:t>
      </w:r>
      <w:r w:rsidRPr="00B522BE">
        <w:rPr>
          <w:rFonts w:eastAsia="Times New Roman"/>
          <w:sz w:val="24"/>
          <w:szCs w:val="24"/>
        </w:rPr>
        <w:t xml:space="preserve"> Ecoli (MTCC 739), Phototoxicity</w:t>
      </w:r>
      <w:r w:rsidRPr="00B522BE">
        <w:rPr>
          <w:rFonts w:eastAsia="Times New Roman"/>
          <w:sz w:val="24"/>
          <w:szCs w:val="24"/>
        </w:rPr>
        <w:t>,</w:t>
      </w:r>
      <w:r w:rsidRPr="00B522BE">
        <w:rPr>
          <w:rFonts w:eastAsia="Times New Roman"/>
          <w:sz w:val="24"/>
          <w:szCs w:val="24"/>
        </w:rPr>
        <w:t xml:space="preserve"> Cytotoxic</w:t>
      </w:r>
      <w:r w:rsidRPr="00B522BE">
        <w:rPr>
          <w:rFonts w:eastAsia="Times New Roman"/>
          <w:sz w:val="24"/>
          <w:szCs w:val="24"/>
        </w:rPr>
        <w:t>ity</w:t>
      </w:r>
      <w:r w:rsidRPr="00B522BE">
        <w:rPr>
          <w:rFonts w:eastAsia="Times New Roman"/>
          <w:sz w:val="24"/>
          <w:szCs w:val="24"/>
        </w:rPr>
        <w:t>,</w:t>
      </w:r>
      <w:r w:rsidRPr="00B522BE">
        <w:rPr>
          <w:rFonts w:eastAsia="Times New Roman"/>
          <w:sz w:val="24"/>
          <w:szCs w:val="24"/>
        </w:rPr>
        <w:t xml:space="preserve"> Antibacterial Effect</w:t>
      </w:r>
    </w:p>
    <w:sectPr w:rsidR="00DB6438" w:rsidRPr="00B522BE">
      <w:pgSz w:w="12240" w:h="15840"/>
      <w:pgMar w:top="1435" w:right="1440" w:bottom="1440" w:left="1440" w:header="0" w:footer="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B23C6"/>
    <w:multiLevelType w:val="hybridMultilevel"/>
    <w:tmpl w:val="D93429D2"/>
    <w:lvl w:ilvl="0" w:tplc="B93E1230">
      <w:start w:val="3"/>
      <w:numFmt w:val="decimal"/>
      <w:lvlText w:val="%1"/>
      <w:lvlJc w:val="left"/>
    </w:lvl>
    <w:lvl w:ilvl="1" w:tplc="1E4A3D9E">
      <w:numFmt w:val="decimal"/>
      <w:lvlText w:val=""/>
      <w:lvlJc w:val="left"/>
    </w:lvl>
    <w:lvl w:ilvl="2" w:tplc="629C54EA">
      <w:numFmt w:val="decimal"/>
      <w:lvlText w:val=""/>
      <w:lvlJc w:val="left"/>
    </w:lvl>
    <w:lvl w:ilvl="3" w:tplc="0E948E40">
      <w:numFmt w:val="decimal"/>
      <w:lvlText w:val=""/>
      <w:lvlJc w:val="left"/>
    </w:lvl>
    <w:lvl w:ilvl="4" w:tplc="C0143136">
      <w:numFmt w:val="decimal"/>
      <w:lvlText w:val=""/>
      <w:lvlJc w:val="left"/>
    </w:lvl>
    <w:lvl w:ilvl="5" w:tplc="61EC1E78">
      <w:numFmt w:val="decimal"/>
      <w:lvlText w:val=""/>
      <w:lvlJc w:val="left"/>
    </w:lvl>
    <w:lvl w:ilvl="6" w:tplc="36024E20">
      <w:numFmt w:val="decimal"/>
      <w:lvlText w:val=""/>
      <w:lvlJc w:val="left"/>
    </w:lvl>
    <w:lvl w:ilvl="7" w:tplc="8FE2395A">
      <w:numFmt w:val="decimal"/>
      <w:lvlText w:val=""/>
      <w:lvlJc w:val="left"/>
    </w:lvl>
    <w:lvl w:ilvl="8" w:tplc="A3A80B76">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438"/>
    <w:rsid w:val="00B522BE"/>
    <w:rsid w:val="00DB6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CDE2C"/>
  <w15:docId w15:val="{F8C6A86C-EFEB-40EB-8898-39E5CC658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22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mmadaziz@ciitlahore.edu.pk" TargetMode="External"/><Relationship Id="rId5" Type="http://schemas.openxmlformats.org/officeDocument/2006/relationships/hyperlink" Target="mailto:mahvish.fatima@phys.uol.edu.p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Dr Mehvish</cp:lastModifiedBy>
  <cp:revision>2</cp:revision>
  <dcterms:created xsi:type="dcterms:W3CDTF">2018-04-03T09:41:00Z</dcterms:created>
  <dcterms:modified xsi:type="dcterms:W3CDTF">2018-04-03T09:41:00Z</dcterms:modified>
</cp:coreProperties>
</file>