
<file path=[Content_Types].xml><?xml version="1.0" encoding="utf-8"?>
<Types xmlns="http://schemas.openxmlformats.org/package/2006/content-types">
  <Default Extension="xml" ContentType="application/xml"/>
  <Default Extension="jpeg" ContentType="image/jpeg"/>
  <Default Extension="png" ContentType="image/png"/>
  <Default Extension="wdp" ContentType="image/vnd.ms-photo"/>
  <Default Extension="emf" ContentType="image/x-em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2DE8C4" w14:textId="77777777" w:rsidR="00E339C0" w:rsidRDefault="003509A1" w:rsidP="00E339C0">
      <w:pPr>
        <w:pStyle w:val="Ttulo1"/>
        <w:spacing w:before="170"/>
        <w:ind w:left="0"/>
      </w:pPr>
      <w:r>
        <w:rPr>
          <w:noProof/>
          <w:color w:val="337AB7"/>
          <w:lang w:val="en-GB" w:eastAsia="en-GB"/>
        </w:rPr>
        <w:t>Bacterial nanocellulose h</w:t>
      </w:r>
      <w:r w:rsidR="00E339C0">
        <w:rPr>
          <w:noProof/>
          <w:color w:val="337AB7"/>
          <w:lang w:val="en-GB" w:eastAsia="en-GB"/>
        </w:rPr>
        <w:t>emocompatibility assesment: Effect of drying and biomaterial microporosities on blood response</w:t>
      </w:r>
    </w:p>
    <w:p w14:paraId="4547817E" w14:textId="77777777" w:rsidR="00E339C0" w:rsidRPr="004B6C61" w:rsidRDefault="00E339C0" w:rsidP="00E339C0">
      <w:pPr>
        <w:pStyle w:val="Textoindependiente"/>
        <w:spacing w:before="73" w:line="198" w:lineRule="exact"/>
        <w:ind w:left="100" w:right="5987"/>
        <w:rPr>
          <w:rFonts w:ascii="Arial"/>
          <w:lang w:val="es-ES"/>
        </w:rPr>
      </w:pPr>
      <w:r>
        <w:rPr>
          <w:noProof/>
          <w:color w:val="337AB7"/>
          <w:lang w:val="es-ES_tradnl" w:eastAsia="es-ES_tradnl"/>
        </w:rPr>
        <mc:AlternateContent>
          <mc:Choice Requires="wps">
            <w:drawing>
              <wp:anchor distT="0" distB="0" distL="114300" distR="114300" simplePos="0" relativeHeight="251660288" behindDoc="0" locked="0" layoutInCell="1" allowOverlap="1" wp14:anchorId="2DF2E9F3" wp14:editId="5B05DBED">
                <wp:simplePos x="0" y="0"/>
                <wp:positionH relativeFrom="column">
                  <wp:posOffset>4363126</wp:posOffset>
                </wp:positionH>
                <wp:positionV relativeFrom="paragraph">
                  <wp:posOffset>252730</wp:posOffset>
                </wp:positionV>
                <wp:extent cx="1537929" cy="1602740"/>
                <wp:effectExtent l="0" t="0" r="37465" b="2286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7929" cy="160274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9DCB47C" w14:textId="77777777" w:rsidR="00E339C0" w:rsidRPr="003D600C" w:rsidRDefault="00E339C0" w:rsidP="00E339C0">
                            <w:pPr>
                              <w:rPr>
                                <w:b/>
                                <w:color w:val="0000FF"/>
                                <w:lang w:val="es-ES"/>
                              </w:rPr>
                            </w:pPr>
                            <w:r>
                              <w:rPr>
                                <w:rFonts w:ascii="Helvetica" w:eastAsiaTheme="minorHAnsi" w:hAnsi="Helvetica" w:cs="Helvetica"/>
                                <w:noProof/>
                                <w:sz w:val="24"/>
                                <w:szCs w:val="24"/>
                                <w:lang w:val="es-ES_tradnl" w:eastAsia="es-ES_tradnl"/>
                              </w:rPr>
                              <w:drawing>
                                <wp:inline distT="0" distB="0" distL="0" distR="0" wp14:anchorId="7736D079" wp14:editId="0CE898FD">
                                  <wp:extent cx="1235710" cy="1255798"/>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5710" cy="1255798"/>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7AE01CA" id="Rounded Rectangle 2" o:spid="_x0000_s1026" style="position:absolute;left:0;text-align:left;margin-left:343.55pt;margin-top:19.9pt;width:121.1pt;height:126.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" strokecolor="#9bbb59" strokeweight="2.5pt">
                <v:shadow color="#868686" opacity="1" mv:blur="0" offset="2pt,2pt"/>
                <v:textbox>
                  <w:txbxContent>
                    <w:p w:rsidR="00E339C0" w:rsidRPr="003D600C" w:rsidRDefault="00E339C0" w:rsidP="00E339C0">
                      <w:pPr>
                        <w:rPr>
                          <w:b/>
                          <w:color w:val="0000FF"/>
                          <w:lang w:val="es-ES"/>
                        </w:rPr>
                      </w:pPr>
                      <w:r>
                        <w:rPr>
                          <w:rFonts w:ascii="Helvetica" w:eastAsiaTheme="minorHAnsi" w:hAnsi="Helvetica" w:cs="Helvetica"/>
                          <w:noProof/>
                          <w:sz w:val="24"/>
                          <w:szCs w:val="24"/>
                          <w:lang w:val="es-ES_tradnl" w:eastAsia="es-ES_tradnl"/>
                        </w:rPr>
                        <w:drawing>
                          <wp:inline distT="0" distB="0" distL="0" distR="0" wp14:anchorId="4CED6BF1" wp14:editId="4B52C8FA">
                            <wp:extent cx="1235710" cy="1255798"/>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35710" cy="1255798"/>
                                    </a:xfrm>
                                    <a:prstGeom prst="rect">
                                      <a:avLst/>
                                    </a:prstGeom>
                                    <a:noFill/>
                                    <a:ln>
                                      <a:noFill/>
                                    </a:ln>
                                  </pic:spPr>
                                </pic:pic>
                              </a:graphicData>
                            </a:graphic>
                          </wp:inline>
                        </w:drawing>
                      </w:r>
                    </w:p>
                  </w:txbxContent>
                </v:textbox>
              </v:roundrect>
            </w:pict>
          </mc:Fallback>
        </mc:AlternateContent>
      </w:r>
      <w:r w:rsidRPr="004B6C61">
        <w:rPr>
          <w:rFonts w:ascii="Arial"/>
          <w:lang w:val="es-ES"/>
        </w:rPr>
        <w:t>Marlon A. Osorio D.</w:t>
      </w:r>
      <w:r>
        <w:rPr>
          <w:rFonts w:ascii="Arial"/>
          <w:lang w:val="es-ES"/>
        </w:rPr>
        <w:t xml:space="preserve">CHE. </w:t>
      </w:r>
      <w:proofErr w:type="spellStart"/>
      <w:proofErr w:type="gramStart"/>
      <w:r>
        <w:rPr>
          <w:rFonts w:ascii="Arial"/>
          <w:lang w:val="es-ES"/>
        </w:rPr>
        <w:t>Ph.D</w:t>
      </w:r>
      <w:proofErr w:type="spellEnd"/>
      <w:proofErr w:type="gramEnd"/>
      <w:r>
        <w:rPr>
          <w:rFonts w:ascii="Arial"/>
          <w:lang w:val="es-ES"/>
        </w:rPr>
        <w:t xml:space="preserve"> St. Facultad de ingenier</w:t>
      </w:r>
      <w:r>
        <w:rPr>
          <w:rFonts w:ascii="Arial"/>
          <w:lang w:val="es-ES"/>
        </w:rPr>
        <w:t>í</w:t>
      </w:r>
      <w:r>
        <w:rPr>
          <w:rFonts w:ascii="Arial"/>
          <w:lang w:val="es-ES"/>
        </w:rPr>
        <w:t>a Universidad Pontificia Bolivariana, Colombia</w:t>
      </w:r>
    </w:p>
    <w:p w14:paraId="633F93E4" w14:textId="77777777" w:rsidR="00E339C0" w:rsidRPr="004663BB" w:rsidRDefault="00E339C0" w:rsidP="00E339C0">
      <w:pPr>
        <w:pStyle w:val="Textoindependiente"/>
        <w:spacing w:before="73" w:line="198" w:lineRule="exact"/>
        <w:ind w:left="100" w:right="5987"/>
        <w:rPr>
          <w:rFonts w:ascii="Arial"/>
          <w:u w:val="single"/>
          <w:lang w:val="es-ES"/>
        </w:rPr>
      </w:pPr>
      <w:r w:rsidRPr="004663BB">
        <w:rPr>
          <w:rFonts w:ascii="Arial"/>
          <w:u w:val="single"/>
          <w:lang w:val="es-ES"/>
        </w:rPr>
        <w:t>Estefan</w:t>
      </w:r>
      <w:r w:rsidRPr="004663BB">
        <w:rPr>
          <w:rFonts w:ascii="Arial"/>
          <w:u w:val="single"/>
          <w:lang w:val="es-ES"/>
        </w:rPr>
        <w:t>í</w:t>
      </w:r>
      <w:r w:rsidRPr="004663BB">
        <w:rPr>
          <w:rFonts w:ascii="Arial"/>
          <w:u w:val="single"/>
          <w:lang w:val="es-ES"/>
        </w:rPr>
        <w:t xml:space="preserve">a Martinez C. </w:t>
      </w:r>
      <w:r w:rsidRPr="00E31099">
        <w:rPr>
          <w:rFonts w:ascii="Arial"/>
          <w:lang w:val="es-ES"/>
        </w:rPr>
        <w:t>RN NTE St.</w:t>
      </w:r>
      <w:r w:rsidRPr="004663BB">
        <w:rPr>
          <w:rFonts w:ascii="Arial"/>
          <w:u w:val="single"/>
          <w:lang w:val="es-ES"/>
        </w:rPr>
        <w:t xml:space="preserve"> </w:t>
      </w:r>
      <w:r>
        <w:rPr>
          <w:rFonts w:ascii="Arial"/>
          <w:lang w:val="es-ES"/>
        </w:rPr>
        <w:t>Facultad de ingenier</w:t>
      </w:r>
      <w:r>
        <w:rPr>
          <w:rFonts w:ascii="Arial"/>
          <w:lang w:val="es-ES"/>
        </w:rPr>
        <w:t>í</w:t>
      </w:r>
      <w:r>
        <w:rPr>
          <w:rFonts w:ascii="Arial"/>
          <w:lang w:val="es-ES"/>
        </w:rPr>
        <w:t>a Universidad Pontificia Bolivariana, Colombia</w:t>
      </w:r>
    </w:p>
    <w:p w14:paraId="191978DB" w14:textId="77777777" w:rsidR="00E339C0" w:rsidRDefault="00E339C0" w:rsidP="00E339C0">
      <w:pPr>
        <w:pStyle w:val="Textoindependiente"/>
        <w:spacing w:before="73" w:line="198" w:lineRule="exact"/>
        <w:ind w:left="100" w:right="5987"/>
        <w:rPr>
          <w:rFonts w:ascii="Arial"/>
          <w:lang w:val="es-ES"/>
        </w:rPr>
      </w:pPr>
      <w:r>
        <w:rPr>
          <w:rFonts w:ascii="Arial"/>
          <w:lang w:val="es-ES"/>
        </w:rPr>
        <w:t>Ana I. Ca</w:t>
      </w:r>
      <w:r w:rsidR="003E6CDC">
        <w:rPr>
          <w:rFonts w:ascii="Arial"/>
          <w:lang w:val="es-ES"/>
        </w:rPr>
        <w:t>ñ</w:t>
      </w:r>
      <w:r>
        <w:rPr>
          <w:rFonts w:ascii="Arial"/>
          <w:lang w:val="es-ES"/>
        </w:rPr>
        <w:t xml:space="preserve">as G. BIOE </w:t>
      </w:r>
      <w:proofErr w:type="spellStart"/>
      <w:proofErr w:type="gramStart"/>
      <w:r>
        <w:rPr>
          <w:rFonts w:ascii="Arial"/>
          <w:lang w:val="es-ES"/>
        </w:rPr>
        <w:t>Ph.D</w:t>
      </w:r>
      <w:proofErr w:type="spellEnd"/>
      <w:proofErr w:type="gramEnd"/>
      <w:r>
        <w:rPr>
          <w:rFonts w:ascii="Arial"/>
          <w:lang w:val="es-ES"/>
        </w:rPr>
        <w:t xml:space="preserve"> St. Facultad de ingenier</w:t>
      </w:r>
      <w:r>
        <w:rPr>
          <w:rFonts w:ascii="Arial"/>
          <w:lang w:val="es-ES"/>
        </w:rPr>
        <w:t>í</w:t>
      </w:r>
      <w:r>
        <w:rPr>
          <w:rFonts w:ascii="Arial"/>
          <w:lang w:val="es-ES"/>
        </w:rPr>
        <w:t>a Universidad Pontificia Bolivariana, Colombia</w:t>
      </w:r>
    </w:p>
    <w:p w14:paraId="013E3A09" w14:textId="7CB68198" w:rsidR="00E339C0" w:rsidRDefault="00E339C0" w:rsidP="00E339C0">
      <w:pPr>
        <w:pStyle w:val="Textoindependiente"/>
        <w:spacing w:before="73" w:line="198" w:lineRule="exact"/>
        <w:ind w:left="100" w:right="5987"/>
        <w:rPr>
          <w:rFonts w:ascii="Arial"/>
          <w:lang w:val="es-ES"/>
        </w:rPr>
      </w:pPr>
      <w:proofErr w:type="spellStart"/>
      <w:r>
        <w:rPr>
          <w:rFonts w:ascii="Arial"/>
          <w:lang w:val="es-ES"/>
        </w:rPr>
        <w:t>Tonny</w:t>
      </w:r>
      <w:proofErr w:type="spellEnd"/>
      <w:r>
        <w:rPr>
          <w:rFonts w:ascii="Arial"/>
          <w:lang w:val="es-ES"/>
        </w:rPr>
        <w:t xml:space="preserve"> W. Naranjo P., MICROBIOL</w:t>
      </w:r>
      <w:r w:rsidR="0078122A">
        <w:rPr>
          <w:rFonts w:ascii="Arial"/>
          <w:lang w:val="es-ES"/>
        </w:rPr>
        <w:t xml:space="preserve"> </w:t>
      </w:r>
      <w:proofErr w:type="spellStart"/>
      <w:proofErr w:type="gramStart"/>
      <w:r>
        <w:rPr>
          <w:rFonts w:ascii="Arial"/>
          <w:lang w:val="es-ES"/>
        </w:rPr>
        <w:t>Ph.D</w:t>
      </w:r>
      <w:proofErr w:type="spellEnd"/>
      <w:proofErr w:type="gramEnd"/>
      <w:r>
        <w:rPr>
          <w:rFonts w:ascii="Arial"/>
          <w:lang w:val="es-ES"/>
        </w:rPr>
        <w:t>,</w:t>
      </w:r>
      <w:r w:rsidRPr="00CB0823">
        <w:rPr>
          <w:rFonts w:ascii="Arial"/>
          <w:lang w:val="es-ES"/>
        </w:rPr>
        <w:t xml:space="preserve"> </w:t>
      </w:r>
      <w:r>
        <w:rPr>
          <w:rFonts w:ascii="Arial"/>
          <w:lang w:val="es-ES"/>
        </w:rPr>
        <w:t>Facultad de Medicina Universidad Pontificia Bolivariana, Colombia</w:t>
      </w:r>
    </w:p>
    <w:p w14:paraId="4B4521E4" w14:textId="77777777" w:rsidR="00E339C0" w:rsidRDefault="00E339C0" w:rsidP="00E339C0">
      <w:pPr>
        <w:pStyle w:val="Textoindependiente"/>
        <w:spacing w:before="73" w:line="198" w:lineRule="exact"/>
        <w:ind w:left="100" w:right="5987"/>
        <w:rPr>
          <w:rFonts w:ascii="Arial"/>
          <w:lang w:val="es-ES"/>
        </w:rPr>
      </w:pPr>
      <w:r>
        <w:rPr>
          <w:rFonts w:ascii="Arial"/>
          <w:lang w:val="es-ES"/>
        </w:rPr>
        <w:t xml:space="preserve">Isabel. C. Ortiz T. BIOL </w:t>
      </w:r>
      <w:proofErr w:type="spellStart"/>
      <w:r>
        <w:rPr>
          <w:rFonts w:ascii="Arial"/>
          <w:lang w:val="es-ES"/>
        </w:rPr>
        <w:t>Ph</w:t>
      </w:r>
      <w:proofErr w:type="spellEnd"/>
      <w:r>
        <w:rPr>
          <w:rFonts w:ascii="Arial"/>
          <w:lang w:val="es-ES"/>
        </w:rPr>
        <w:t>. D Facultad de Medicina Universidad Pontificia Bolivariana, Colombia</w:t>
      </w:r>
    </w:p>
    <w:p w14:paraId="6E786806" w14:textId="51B3C0DD" w:rsidR="00611626" w:rsidRPr="004663BB" w:rsidRDefault="00611626" w:rsidP="00E339C0">
      <w:pPr>
        <w:pStyle w:val="Textoindependiente"/>
        <w:spacing w:before="73" w:line="198" w:lineRule="exact"/>
        <w:ind w:left="100" w:right="5987"/>
        <w:rPr>
          <w:rFonts w:ascii="Arial"/>
          <w:lang w:val="es-ES"/>
        </w:rPr>
      </w:pPr>
      <w:r>
        <w:rPr>
          <w:rFonts w:ascii="Arial"/>
          <w:lang w:val="es-ES"/>
        </w:rPr>
        <w:t>Piedad F. Ga</w:t>
      </w:r>
      <w:r>
        <w:rPr>
          <w:rFonts w:ascii="Arial"/>
          <w:lang w:val="es-ES"/>
        </w:rPr>
        <w:t>ñá</w:t>
      </w:r>
      <w:r>
        <w:rPr>
          <w:rFonts w:ascii="Arial"/>
          <w:lang w:val="es-ES"/>
        </w:rPr>
        <w:t>n Rojo</w:t>
      </w:r>
      <w:r w:rsidR="00B8639A">
        <w:rPr>
          <w:rFonts w:ascii="Arial"/>
          <w:lang w:val="es-ES"/>
        </w:rPr>
        <w:t xml:space="preserve">. CHE </w:t>
      </w:r>
      <w:proofErr w:type="spellStart"/>
      <w:proofErr w:type="gramStart"/>
      <w:r w:rsidR="00B8639A">
        <w:rPr>
          <w:rFonts w:ascii="Arial"/>
          <w:lang w:val="es-ES"/>
        </w:rPr>
        <w:t>Ph.D</w:t>
      </w:r>
      <w:proofErr w:type="spellEnd"/>
      <w:proofErr w:type="gramEnd"/>
      <w:r w:rsidR="00B8639A">
        <w:rPr>
          <w:rFonts w:ascii="Arial"/>
          <w:lang w:val="es-ES"/>
        </w:rPr>
        <w:t xml:space="preserve"> Facultad de ingenier</w:t>
      </w:r>
      <w:r w:rsidR="00B8639A">
        <w:rPr>
          <w:rFonts w:ascii="Arial"/>
          <w:lang w:val="es-ES"/>
        </w:rPr>
        <w:t>í</w:t>
      </w:r>
      <w:r w:rsidR="00B8639A">
        <w:rPr>
          <w:rFonts w:ascii="Arial"/>
          <w:lang w:val="es-ES"/>
        </w:rPr>
        <w:t>a Universidad Pontificia Bolivariana, Colombia</w:t>
      </w:r>
    </w:p>
    <w:p w14:paraId="363211A1" w14:textId="77777777" w:rsidR="00E339C0" w:rsidRPr="004663BB" w:rsidRDefault="00E339C0" w:rsidP="003E6CDC">
      <w:pPr>
        <w:pStyle w:val="Textoindependiente"/>
        <w:spacing w:before="73" w:line="198" w:lineRule="exact"/>
        <w:ind w:left="100" w:right="5987"/>
        <w:rPr>
          <w:rFonts w:ascii="Arial"/>
          <w:lang w:val="es-ES"/>
        </w:rPr>
      </w:pPr>
      <w:r w:rsidRPr="004663BB">
        <w:rPr>
          <w:rFonts w:ascii="Arial"/>
          <w:lang w:val="es-ES"/>
        </w:rPr>
        <w:t xml:space="preserve">Cristina I. </w:t>
      </w:r>
      <w:r>
        <w:rPr>
          <w:rFonts w:ascii="Arial"/>
          <w:lang w:val="es-ES"/>
        </w:rPr>
        <w:t xml:space="preserve">Castro H.* CHE. </w:t>
      </w:r>
      <w:proofErr w:type="spellStart"/>
      <w:proofErr w:type="gramStart"/>
      <w:r>
        <w:rPr>
          <w:rFonts w:ascii="Arial"/>
          <w:lang w:val="es-ES"/>
        </w:rPr>
        <w:t>Ph.D</w:t>
      </w:r>
      <w:proofErr w:type="spellEnd"/>
      <w:proofErr w:type="gramEnd"/>
      <w:r>
        <w:rPr>
          <w:rFonts w:ascii="Arial"/>
          <w:lang w:val="es-ES"/>
        </w:rPr>
        <w:t xml:space="preserve"> Facultad de ingenier</w:t>
      </w:r>
      <w:r>
        <w:rPr>
          <w:rFonts w:ascii="Arial"/>
          <w:lang w:val="es-ES"/>
        </w:rPr>
        <w:t>í</w:t>
      </w:r>
      <w:r>
        <w:rPr>
          <w:rFonts w:ascii="Arial"/>
          <w:lang w:val="es-ES"/>
        </w:rPr>
        <w:t>a Universidad Pontificia Bolivariana, Colombia</w:t>
      </w:r>
    </w:p>
    <w:p w14:paraId="39DB1EB6" w14:textId="77777777" w:rsidR="00E339C0" w:rsidRPr="004B6C61" w:rsidRDefault="00E339C0" w:rsidP="00E339C0">
      <w:pPr>
        <w:pStyle w:val="Textoindependiente"/>
        <w:spacing w:before="73" w:line="198" w:lineRule="exact"/>
        <w:ind w:right="5987"/>
        <w:jc w:val="center"/>
        <w:rPr>
          <w:rFonts w:ascii="Arial"/>
          <w:lang w:val="en-GB"/>
        </w:rPr>
      </w:pPr>
      <w:proofErr w:type="spellStart"/>
      <w:r w:rsidRPr="003C7027">
        <w:rPr>
          <w:rFonts w:ascii="Arial"/>
          <w:u w:val="single"/>
          <w:lang w:val="en-GB"/>
        </w:rPr>
        <w:t>Presentig</w:t>
      </w:r>
      <w:proofErr w:type="spellEnd"/>
      <w:r w:rsidRPr="003C7027">
        <w:rPr>
          <w:rFonts w:ascii="Arial"/>
          <w:u w:val="single"/>
          <w:lang w:val="en-GB"/>
        </w:rPr>
        <w:t xml:space="preserve"> Author: </w:t>
      </w:r>
      <w:r w:rsidRPr="003C7027">
        <w:rPr>
          <w:rFonts w:ascii="Arial"/>
          <w:lang w:val="en-GB"/>
        </w:rPr>
        <w:t>estef</w:t>
      </w:r>
      <w:r>
        <w:rPr>
          <w:rFonts w:ascii="Arial"/>
          <w:lang w:val="en-GB"/>
        </w:rPr>
        <w:t>ania.martinezc@upb.edu.co</w:t>
      </w:r>
    </w:p>
    <w:p w14:paraId="26360210" w14:textId="77777777" w:rsidR="00AE3E37" w:rsidRPr="003E6CDC" w:rsidRDefault="00E339C0" w:rsidP="003E6CDC">
      <w:pPr>
        <w:pStyle w:val="Textoindependiente"/>
        <w:spacing w:before="73" w:line="198" w:lineRule="exact"/>
        <w:ind w:right="5987"/>
        <w:jc w:val="center"/>
        <w:rPr>
          <w:rFonts w:ascii="Arial"/>
          <w:lang w:val="en-GB"/>
        </w:rPr>
      </w:pPr>
      <w:r w:rsidRPr="003C7027">
        <w:rPr>
          <w:rFonts w:ascii="Arial"/>
          <w:lang w:val="en-GB"/>
        </w:rPr>
        <w:t>*Corresponding Author: cristina.castro@upb.edu.co</w:t>
      </w:r>
    </w:p>
    <w:p w14:paraId="00F9E068" w14:textId="77777777" w:rsidR="00AE3E37" w:rsidRDefault="00AE3E37">
      <w:pPr>
        <w:pStyle w:val="Textoindependiente"/>
        <w:spacing w:before="3"/>
        <w:rPr>
          <w:rFonts w:ascii="Arial"/>
          <w:sz w:val="21"/>
        </w:rPr>
      </w:pPr>
    </w:p>
    <w:p w14:paraId="0D2298ED" w14:textId="77777777" w:rsidR="00AE3E37" w:rsidRDefault="00AE3E37">
      <w:pPr>
        <w:rPr>
          <w:rFonts w:ascii="Arial"/>
          <w:sz w:val="21"/>
        </w:rPr>
        <w:sectPr w:rsidR="00AE3E37">
          <w:headerReference w:type="default" r:id="rId11"/>
          <w:footerReference w:type="default" r:id="rId12"/>
          <w:type w:val="continuous"/>
          <w:pgSz w:w="11910" w:h="16840"/>
          <w:pgMar w:top="1740" w:right="600" w:bottom="840" w:left="620" w:header="541" w:footer="642" w:gutter="0"/>
          <w:cols w:space="720"/>
        </w:sectPr>
      </w:pPr>
    </w:p>
    <w:p w14:paraId="035176D9" w14:textId="77777777" w:rsidR="00AE3E37" w:rsidRDefault="00A9710C">
      <w:pPr>
        <w:pStyle w:val="Ttulo3"/>
        <w:spacing w:before="147"/>
        <w:jc w:val="both"/>
      </w:pPr>
      <w:r>
        <w:rPr>
          <w:color w:val="BF5A14"/>
        </w:rPr>
        <w:lastRenderedPageBreak/>
        <w:t>Abstract</w:t>
      </w:r>
      <w:r w:rsidR="00404E5B">
        <w:rPr>
          <w:color w:val="BF5A14"/>
        </w:rPr>
        <w:t xml:space="preserve"> </w:t>
      </w:r>
    </w:p>
    <w:p w14:paraId="67490B07" w14:textId="0AE02510" w:rsidR="00550C81" w:rsidRPr="00FD4931" w:rsidRDefault="00457FF8" w:rsidP="00C5493A">
      <w:pPr>
        <w:pStyle w:val="Textoindependiente"/>
        <w:spacing w:before="90" w:line="280" w:lineRule="auto"/>
        <w:ind w:left="100"/>
        <w:jc w:val="both"/>
      </w:pPr>
      <w:r>
        <w:t>Statement of the p</w:t>
      </w:r>
      <w:r w:rsidR="00E339C0">
        <w:t xml:space="preserve">roblem: Bacterial </w:t>
      </w:r>
      <w:proofErr w:type="spellStart"/>
      <w:r w:rsidR="00E339C0">
        <w:t>nanocellulose</w:t>
      </w:r>
      <w:proofErr w:type="spellEnd"/>
      <w:r w:rsidR="008228B2">
        <w:t xml:space="preserve"> (BNC)</w:t>
      </w:r>
      <w:r w:rsidR="00E339C0">
        <w:t xml:space="preserve"> is a </w:t>
      </w:r>
      <w:r w:rsidR="008228B2">
        <w:t>multifunctional</w:t>
      </w:r>
      <w:r w:rsidR="00E339C0">
        <w:t xml:space="preserve"> nanomaterial with applications </w:t>
      </w:r>
      <w:r w:rsidR="008B3D87">
        <w:t xml:space="preserve">in </w:t>
      </w:r>
      <w:r w:rsidR="008228B2">
        <w:t xml:space="preserve">diverse </w:t>
      </w:r>
      <w:r w:rsidR="00BB0511">
        <w:t xml:space="preserve">fields </w:t>
      </w:r>
      <w:r w:rsidR="00405215">
        <w:fldChar w:fldCharType="begin" w:fldLock="1"/>
      </w:r>
      <w:r w:rsidR="00405215">
        <w:instrText>ADDIN CSL_CITATION { "citationItems" : [ { "id" : "ITEM-1", "itemData" : { "ISBN" : "9781439869925", "author" : [ { "dropping-particle" : "", "family" : "Gama", "given" : "Miguel", "non-dropping-particle" : "", "parse-names" : false, "suffix" : "" }, { "dropping-particle" : "", "family" : "Gatenholm", "given" : "Paul", "non-dropping-particle" : "", "parse-names" : false, "suffix" : "" }, { "dropping-particle" : "", "family" : "Klemm", "given" : "Dieter", "non-dropping-particle" : "", "parse-names" : false, "suffix" : "" }, { "dropping-particle" : "", "family" : "Al", "given" : "Et", "non-dropping-particle" : "", "parse-names" : false, "suffix" : "" } ], "id" : "ITEM-1", "issued" : { "date-parts" : [ [ "2013" ] ] }, "number-of-pages" : "306", "publisher" : "CRC Press Taylor &amp; Francis Group", "publisher-place" : "Boca Raton", "title" : "Bacterial nanoCellulose a sophisticates multifunctional material", "type" : "book" }, "uris" : [ "http://www.mendeley.com/documents/?uuid=4ba9a87b-e3b3-40ce-823d-0b06d292bb89" ] } ], "mendeley" : { "formattedCitation" : "[1]", "plainTextFormattedCitation" : "[1]", "previouslyFormattedCitation" : "[1]" }, "properties" : { "noteIndex" : 0 }, "schema" : "https://github.com/citation-style-language/schema/raw/master/csl-citation.json" }</w:instrText>
      </w:r>
      <w:r w:rsidR="00405215">
        <w:fldChar w:fldCharType="separate"/>
      </w:r>
      <w:r w:rsidR="00405215" w:rsidRPr="00405215">
        <w:rPr>
          <w:noProof/>
        </w:rPr>
        <w:t>[1]</w:t>
      </w:r>
      <w:r w:rsidR="00405215">
        <w:fldChar w:fldCharType="end"/>
      </w:r>
      <w:r w:rsidR="00405215">
        <w:t>,</w:t>
      </w:r>
      <w:r w:rsidR="0062423B">
        <w:t xml:space="preserve"> including</w:t>
      </w:r>
      <w:r w:rsidR="008228B2">
        <w:t xml:space="preserve"> scaffolds for tissue engineering and cell regeneration</w:t>
      </w:r>
      <w:r w:rsidR="00FB50B9">
        <w:t xml:space="preserve"> </w:t>
      </w:r>
      <w:r w:rsidR="00FB50B9">
        <w:fldChar w:fldCharType="begin" w:fldLock="1"/>
      </w:r>
      <w:r w:rsidR="00FB50B9">
        <w:instrText>ADDIN CSL_CITATION { "citationItems" : [ { "id" : "ITEM-1", "itemData" : { "DOI" : "10.1002/jbm.b.33198", "abstract" : "There is an increased interest in developing adi-pose tissue for in vitro and in vivo applications. Current two-dimensional (2D) cell-culture systems of adipocytes are lim-ited, and new methods to culture adipocytes in three-dimensional (3D) are warranted as a more life-like model to study metabolic diseases such as obesity and diabetes. In this study, we have evaluated different porous bacterial nanocellulose scaffolds for 3D adipose tissue. In an initial pilot study, we compared adipogenic differentiation of mice mesenchymal stem cells from a cell line on 2D and 3D scaf-folds of bacterial nanocellulose. The 3D scaffolds were engi-neered by crosslinking homogenized cellulose fibrils using alginate and freeze drying the mixture to obtain a porous structure. Quenching the scaffolds in liquid nitrogen resulted in smaller pores compared to slower freezing using isopropa-nol. We found that on 2D surfaces, the cells were scarcely distributed and showed limited formation of lipid droplets, whereas cells grown in macroporous 3D scaffolds contained more cells growing in clusters, containing large lipid drop-lets. All four types of scaffolds contained a lot of adipocytes, but scaffolds with smaller pores contained larger cell clusters than scaffolds with bigger pores, with viable adipocytes pres-ent even 4 weeks after differentiation. Scaffolds with lower alginate fractions retained their pore integrity better. We con-clude that 3D culturing of adipocytes in bacterial nanocellu-lose macroporous scaffolds is a promising method for fabrication of adipose tissue as an in vitro model for adipose biology and metabolic disease.", "author" : [ { "dropping-particle" : "", "family" : "Krontiras", "given" : "Panagiotis", "non-dropping-particle" : "", "parse-names" : false, "suffix" : "" }, { "dropping-particle" : "", "family" : "Gatenholm", "given" : "Paul", "non-dropping-particle" : "", "parse-names" : false, "suffix" : "" }, { "dropping-particle" : "", "family" : "Hagg", "given" : "Daniel A", "non-dropping-particle" : "", "parse-names" : false, "suffix" : "" } ], "container-title" : "J Biomed Mater Res Part B: Appl Biomater", "id" : "ITEM-1", "issue" : "12", "issued" : { "date-parts" : [ [ "2015" ] ] }, "page" : "195-203", "title" : "Adipogenic differentiation of stem cells in three-dimensional porous bacterial nanocellulose scaffolds", "type" : "article-journal", "volume" : "103" }, "uris" : [ "http://www.mendeley.com/documents/?uuid=a2850a11-9baf-3bca-a5ba-10d3441c79ce" ] } ], "mendeley" : { "formattedCitation" : "[2]", "plainTextFormattedCitation" : "[2]", "previouslyFormattedCitation" : "[2]" }, "properties" : { "noteIndex" : 0 }, "schema" : "https://github.com/citation-style-language/schema/raw/master/csl-citation.json" }</w:instrText>
      </w:r>
      <w:r w:rsidR="00FB50B9">
        <w:fldChar w:fldCharType="separate"/>
      </w:r>
      <w:r w:rsidR="00FB50B9" w:rsidRPr="00FB50B9">
        <w:rPr>
          <w:noProof/>
        </w:rPr>
        <w:t>[2]</w:t>
      </w:r>
      <w:r w:rsidR="00FB50B9">
        <w:fldChar w:fldCharType="end"/>
      </w:r>
      <w:r w:rsidR="008228B2">
        <w:t xml:space="preserve">. In these fields, there is </w:t>
      </w:r>
      <w:r w:rsidR="004F552D">
        <w:t xml:space="preserve">a </w:t>
      </w:r>
      <w:r w:rsidR="008228B2">
        <w:t xml:space="preserve">gap in the </w:t>
      </w:r>
      <w:r w:rsidR="004F552D">
        <w:t xml:space="preserve">knowledge regarding to </w:t>
      </w:r>
      <w:r w:rsidR="004479B3">
        <w:t>its</w:t>
      </w:r>
      <w:r w:rsidR="004F552D">
        <w:t xml:space="preserve"> blood response. </w:t>
      </w:r>
      <w:r w:rsidR="000700DA">
        <w:t xml:space="preserve">This work aimed at studying </w:t>
      </w:r>
      <w:r w:rsidR="001A2C01">
        <w:t xml:space="preserve">the </w:t>
      </w:r>
      <w:r w:rsidR="000E2338">
        <w:t xml:space="preserve">influence of </w:t>
      </w:r>
      <w:r w:rsidR="00C042D2">
        <w:t xml:space="preserve">material </w:t>
      </w:r>
      <w:r w:rsidR="000E2338">
        <w:t xml:space="preserve">drying </w:t>
      </w:r>
      <w:r w:rsidR="00C042D2">
        <w:t>method</w:t>
      </w:r>
      <w:r w:rsidR="000E2338">
        <w:t xml:space="preserve"> </w:t>
      </w:r>
      <w:r w:rsidR="00C042D2">
        <w:t xml:space="preserve">and its </w:t>
      </w:r>
      <w:proofErr w:type="spellStart"/>
      <w:r w:rsidR="000E2338">
        <w:t>microporosities</w:t>
      </w:r>
      <w:proofErr w:type="spellEnd"/>
      <w:r w:rsidR="000E2338">
        <w:t xml:space="preserve"> on </w:t>
      </w:r>
      <w:r>
        <w:t xml:space="preserve">the material </w:t>
      </w:r>
      <w:proofErr w:type="spellStart"/>
      <w:r w:rsidR="000E2338">
        <w:t>hemocompatibility</w:t>
      </w:r>
      <w:proofErr w:type="spellEnd"/>
      <w:r w:rsidR="00C042D2">
        <w:t xml:space="preserve"> response</w:t>
      </w:r>
      <w:r w:rsidR="000E2338">
        <w:t>.</w:t>
      </w:r>
      <w:r w:rsidR="00B8639A">
        <w:t xml:space="preserve"> </w:t>
      </w:r>
      <w:r w:rsidR="00E339C0">
        <w:t xml:space="preserve">Methodology &amp; Theoretical Orientation: </w:t>
      </w:r>
      <w:r w:rsidR="00405215">
        <w:t>BNC was produced using</w:t>
      </w:r>
      <w:r w:rsidR="00066FBF">
        <w:t xml:space="preserve"> </w:t>
      </w:r>
      <w:proofErr w:type="spellStart"/>
      <w:r w:rsidR="00066FBF" w:rsidRPr="00002172">
        <w:rPr>
          <w:i/>
        </w:rPr>
        <w:t>Komagataeibacter</w:t>
      </w:r>
      <w:proofErr w:type="spellEnd"/>
      <w:r w:rsidR="00066FBF" w:rsidRPr="00002172">
        <w:rPr>
          <w:i/>
        </w:rPr>
        <w:t xml:space="preserve"> </w:t>
      </w:r>
      <w:proofErr w:type="spellStart"/>
      <w:r w:rsidR="00066FBF" w:rsidRPr="00002172">
        <w:rPr>
          <w:i/>
        </w:rPr>
        <w:t>medellinensis</w:t>
      </w:r>
      <w:proofErr w:type="spellEnd"/>
      <w:r w:rsidR="00066FBF">
        <w:t xml:space="preserve">, </w:t>
      </w:r>
      <w:r w:rsidR="00066FBF" w:rsidRPr="00BB0511">
        <w:t>follow</w:t>
      </w:r>
      <w:r w:rsidR="00611FF3" w:rsidRPr="00BB0511">
        <w:t>ing the protocols by C</w:t>
      </w:r>
      <w:r w:rsidR="00066FBF" w:rsidRPr="00BB0511">
        <w:t>astro</w:t>
      </w:r>
      <w:r w:rsidR="00002172" w:rsidRPr="00BB0511">
        <w:t xml:space="preserve"> </w:t>
      </w:r>
      <w:r w:rsidR="00002172" w:rsidRPr="00BB0511">
        <w:rPr>
          <w:i/>
        </w:rPr>
        <w:t>et</w:t>
      </w:r>
      <w:r w:rsidR="00066FBF" w:rsidRPr="00BB0511">
        <w:rPr>
          <w:i/>
        </w:rPr>
        <w:t xml:space="preserve"> al</w:t>
      </w:r>
      <w:r w:rsidR="00002172" w:rsidRPr="00BB0511">
        <w:rPr>
          <w:i/>
        </w:rPr>
        <w:t>.</w:t>
      </w:r>
      <w:r w:rsidR="00066FBF" w:rsidRPr="00BB0511">
        <w:t xml:space="preserve"> </w:t>
      </w:r>
      <w:r w:rsidR="00002172" w:rsidRPr="00BB0511">
        <w:t>(2013)</w:t>
      </w:r>
      <w:r w:rsidR="00FB50B9">
        <w:t xml:space="preserve"> </w:t>
      </w:r>
      <w:r w:rsidR="00FB50B9">
        <w:fldChar w:fldCharType="begin" w:fldLock="1"/>
      </w:r>
      <w:r w:rsidR="00F85647">
        <w:instrText>ADDIN CSL_CITATION { "citationItems" : [ { "id" : "ITEM-1", "itemData" : { "DOI" : "10.1099/ijs.0.043414-0", "ISSN" : "1466-5034", "PMID" : "22729025", "abstract" : "The phylogenetic position of a cellulose-producing acetic acid bacterium, strain ID13488, isolated from commercially available Colombian homemade fruit vinegar, was investigated. Analyses using nearly complete 16S rRNA gene sequences, nearly complete 16S-23S rRNA gene internal transcribed spacer (ITS) sequences, as well as concatenated partial sequences of the housekeeping genes dnaK, groEL and rpoB, allocated the micro-organism to the genus Gluconacetobacter, and more precisely to the Gluconacetobacter xylinus group. Moreover, the data suggested that the micro-organism belongs to a novel species in this genus, together with LMG 1693(T), a non-cellulose-producing strain isolated from vinegar by Kondo and previously classified as a strain of Gluconacetobacter xylinus. DNA-DNA hybridizations confirmed this finding, revealing a DNA-DNA relatedness value of 81 % between strains ID13488 and LMG 1693(T), and values &lt;70 % between strain LMG 1693(T) and the type strains of the closest phylogenetic neighbours. Additionally, the classification of strains ID13488 and LMG 1693(T) into a single novel species was supported by amplified fragment length polymorphism (AFLP) and (GTG)5-PCR DNA fingerprinting data, as well as by phenotypic data. Strains ID13488 and LMG 1693(T) could be differentiated from closely related species of the genus Gluconacetobacter by their ability to produce 2- and 5-keto-d-gluconic acid from d-glucose, their ability to produce acid from sucrose, but not from 1-propanol, and their ability to grow on 3 % ethanol in the absence of acetic acid and on ethanol, d-ribose, d-xylose, sucrose, sorbitol, d-mannitol and d-gluconate as carbon sources. The DNA G+C content of strains ID13488 and LMG 1693(T) was 58.0 and 60.7 mol%, respectively. The major ubiquinone of LMG 1693(T) was Q-10. Taken together these data indicate that strains ID13488 and LMG 1693(T) represent a novel species of the genus Gluconacetobacter for which the name Gluconacetobacter medellinensis sp. nov. is proposed. The type strain is LMG 1693(T) ( = NBRC 3288(T) = Kondo 51(T)).", "author" : [ { "dropping-particle" : "", "family" : "Castro", "given" : "C.", "non-dropping-particle" : "", "parse-names" : false, "suffix" : "" }, { "dropping-particle" : "", "family" : "Cleenwerck", "given" : "I.", "non-dropping-particle" : "", "parse-names" : false, "suffix" : "" }, { "dropping-particle" : "", "family" : "Trcek", "given" : "J.", "non-dropping-particle" : "", "parse-names" : false, "suffix" : "" }, { "dropping-particle" : "", "family" : "Zuluaga", "given" : "R.", "non-dropping-particle" : "", "parse-names" : false, "suffix" : "" }, { "dropping-particle" : "", "family" : "Vos", "given" : "P.", "non-dropping-particle" : "De", "parse-names" : false, "suffix" : "" }, { "dropping-particle" : "", "family" : "Caro", "given" : "G.", "non-dropping-particle" : "", "parse-names" : false, "suffix" : "" }, { "dropping-particle" : "", "family" : "Aguirre", "given" : "R.", "non-dropping-particle" : "", "parse-names" : false, "suffix" : "" }, { "dropping-particle" : "", "family" : "Putaux", "given" : "J-L", "non-dropping-particle" : "", "parse-names" : false, "suffix" : "" }, { "dropping-particle" : "", "family" : "Ga\u00f1\u00e1n", "given" : "P.", "non-dropping-particle" : "", "parse-names" : false, "suffix" : "" } ], "container-title" : "International journal of systematic and evolutionary microbiology", "id" : "ITEM-1", "issue" : "3", "issued" : { "date-parts" : [ [ "2013" ] ] }, "page" : "1119-25", "title" : "Gluconacetobacter medellinensis sp. nov., cellulose- and non-cellulose-producing acetic acid bacteria isolated from vinegar.", "type" : "article-journal", "volume" : "63" }, "uris" : [ "http://www.mendeley.com/documents/?uuid=99521f6c-c277-4b8e-81bd-681cf798e6ed" ] } ], "mendeley" : { "formattedCitation" : "[3]", "plainTextFormattedCitation" : "[3]", "previouslyFormattedCitation" : "[3]" }, "properties" : { "noteIndex" : 0 }, "schema" : "https://github.com/citation-style-language/schema/raw/master/csl-citation.json" }</w:instrText>
      </w:r>
      <w:r w:rsidR="00FB50B9">
        <w:fldChar w:fldCharType="separate"/>
      </w:r>
      <w:r w:rsidR="00FB50B9" w:rsidRPr="00FB50B9">
        <w:rPr>
          <w:noProof/>
        </w:rPr>
        <w:t>[3]</w:t>
      </w:r>
      <w:r w:rsidR="00FB50B9">
        <w:fldChar w:fldCharType="end"/>
      </w:r>
      <w:r w:rsidR="003509A1">
        <w:t>. For the evaluation of drying</w:t>
      </w:r>
      <w:r w:rsidR="000176D2">
        <w:t xml:space="preserve"> effect</w:t>
      </w:r>
      <w:r w:rsidR="003509A1">
        <w:t xml:space="preserve">, the biomaterials were dried by freeze </w:t>
      </w:r>
      <w:r w:rsidR="000176D2">
        <w:t xml:space="preserve">drying </w:t>
      </w:r>
      <w:r w:rsidR="003509A1">
        <w:t>and oven</w:t>
      </w:r>
      <w:r w:rsidR="007E03B8">
        <w:t>,</w:t>
      </w:r>
      <w:r w:rsidR="00D93AD5">
        <w:t xml:space="preserve"> never-dried BNC</w:t>
      </w:r>
      <w:r w:rsidR="007E03B8">
        <w:t xml:space="preserve"> was used to comparative propose</w:t>
      </w:r>
      <w:r w:rsidR="003509A1">
        <w:t xml:space="preserve">. </w:t>
      </w:r>
      <w:r>
        <w:t xml:space="preserve">To determine </w:t>
      </w:r>
      <w:r w:rsidR="003509A1">
        <w:t xml:space="preserve">the effect of three-dimensional </w:t>
      </w:r>
      <w:proofErr w:type="spellStart"/>
      <w:r w:rsidR="00411CDA">
        <w:t>micro</w:t>
      </w:r>
      <w:r w:rsidR="003509A1">
        <w:t>porosities</w:t>
      </w:r>
      <w:proofErr w:type="spellEnd"/>
      <w:r w:rsidR="003509A1">
        <w:t xml:space="preserve">, </w:t>
      </w:r>
      <w:r>
        <w:t xml:space="preserve">BNC was </w:t>
      </w:r>
      <w:r w:rsidR="00B8639A">
        <w:t>synthetized</w:t>
      </w:r>
      <w:r w:rsidR="003509A1">
        <w:t xml:space="preserve"> using </w:t>
      </w:r>
      <w:proofErr w:type="spellStart"/>
      <w:r w:rsidR="003509A1">
        <w:t>porogens</w:t>
      </w:r>
      <w:proofErr w:type="spellEnd"/>
      <w:r>
        <w:t xml:space="preserve"> and</w:t>
      </w:r>
      <w:r w:rsidR="00B8639A">
        <w:t xml:space="preserve"> </w:t>
      </w:r>
      <w:r w:rsidR="00D93AD5">
        <w:t>never-dried</w:t>
      </w:r>
      <w:r w:rsidR="003509A1">
        <w:t xml:space="preserve">. </w:t>
      </w:r>
      <w:r w:rsidR="00126BBB">
        <w:t xml:space="preserve">The biomaterials were </w:t>
      </w:r>
      <w:r w:rsidR="00F437D8">
        <w:t>characterized</w:t>
      </w:r>
      <w:r w:rsidR="00126BBB">
        <w:t xml:space="preserve"> by </w:t>
      </w:r>
      <w:r>
        <w:t>S</w:t>
      </w:r>
      <w:r w:rsidR="00F437D8">
        <w:t xml:space="preserve">canning </w:t>
      </w:r>
      <w:r>
        <w:t>E</w:t>
      </w:r>
      <w:r w:rsidR="00F437D8">
        <w:t xml:space="preserve">lectron </w:t>
      </w:r>
      <w:r>
        <w:t>M</w:t>
      </w:r>
      <w:r w:rsidR="00E846F7">
        <w:t>icroscopy</w:t>
      </w:r>
      <w:r w:rsidR="00D03A90">
        <w:t xml:space="preserve"> (SEM)</w:t>
      </w:r>
      <w:r w:rsidR="00E846F7">
        <w:t xml:space="preserve"> to observe the biomaterial interaction with blood cells and fibrin. H</w:t>
      </w:r>
      <w:r w:rsidR="00F437D8">
        <w:t>emolysis</w:t>
      </w:r>
      <w:r w:rsidR="00E846F7">
        <w:t xml:space="preserve"> and</w:t>
      </w:r>
      <w:r w:rsidR="00F437D8">
        <w:t xml:space="preserve"> </w:t>
      </w:r>
      <w:proofErr w:type="spellStart"/>
      <w:r w:rsidR="00F437D8">
        <w:t>thrombogenicity</w:t>
      </w:r>
      <w:proofErr w:type="spellEnd"/>
      <w:r w:rsidR="00F437D8">
        <w:t xml:space="preserve"> </w:t>
      </w:r>
      <w:r w:rsidR="00E846F7">
        <w:t xml:space="preserve">tests to evaluate the response of red </w:t>
      </w:r>
      <w:r w:rsidR="00ED7B42">
        <w:t>blood cells</w:t>
      </w:r>
      <w:r w:rsidR="00E846F7">
        <w:t xml:space="preserve"> and </w:t>
      </w:r>
      <w:r w:rsidR="00AA32E2">
        <w:t>clott</w:t>
      </w:r>
      <w:r w:rsidR="005A3063">
        <w:t>ing</w:t>
      </w:r>
      <w:r w:rsidR="00ED7B42">
        <w:t xml:space="preserve"> time</w:t>
      </w:r>
      <w:r w:rsidR="005A3063">
        <w:t>,</w:t>
      </w:r>
      <w:r w:rsidR="00ED7B42">
        <w:t xml:space="preserve"> </w:t>
      </w:r>
      <w:r w:rsidR="005A3063">
        <w:t>respectively. These studies were performed</w:t>
      </w:r>
      <w:r w:rsidR="001A5293">
        <w:t xml:space="preserve"> under ISO </w:t>
      </w:r>
      <w:r w:rsidR="000969BD">
        <w:t>10993 and ASTM F756</w:t>
      </w:r>
      <w:r>
        <w:t>, respectively</w:t>
      </w:r>
      <w:r w:rsidR="000969BD">
        <w:t xml:space="preserve"> </w:t>
      </w:r>
      <w:r w:rsidR="00853D88">
        <w:rPr>
          <w:color w:val="FF0000"/>
        </w:rPr>
        <w:fldChar w:fldCharType="begin" w:fldLock="1"/>
      </w:r>
      <w:r w:rsidR="00853D88">
        <w:rPr>
          <w:color w:val="FF0000"/>
        </w:rPr>
        <w:instrText>ADDIN CSL_CITATION { "citationItems" : [ { "id" : "ITEM-1", "itemData" : { "author" : [ { "dropping-particle" : "", "family" : "American Society for Testing and Materials", "given" : "", "non-dropping-particle" : "", "parse-names" : false, "suffix" : "" } ], "id" : "ITEM-1", "issued" : { "date-parts" : [ [ "2016" ] ] }, "page" : "1-5", "title" : "Standard Practice for Assessment of Hemolytic Properties of Materials", "type" : "article" }, "uris" : [ "http://www.mendeley.com/documents/?uuid=62dcea4b-6c64-4590-a81e-48b096abbafd" ] }, { "id" : "ITEM-2", "itemData" : { "DOI" : "10.1016/S1389-0344(02)00015-1", "ISBN" : "1389-0344", "ISSN" : "13890344", "PMID" : "12202168", "abstract" : "The development of synthetic materials, textured polymers and metals and their increasing use in medicine make research of biomaterials' hemocompatibility very relevant. Problems arise from the polymorphism and diversity of the different materials, the static and dynamic test models and the patients' individual biologic factors. First, methods, models, tests as well as preanalytical factors have to be standardized according to the current knowledge in medicine laid down in the ISO 10993 part 4. The routine controls used in clinical chemistry and hematology have to be performed. Information about normal ranges (mean value, standard deviation, 95% confidence interval) should be provided. Tests have to be performed within a minimal delay of usually 2 h since some properties of blood change rapidly following collection. Various conditions (depending on the wall shear rate) were simulated within the centrifugation system and a Chandler system. Qualities and aspects of hemocompatibility such as platelet activation, oxidative burst, hemolysis, fibrinolysis, fibrin formation, generation of thrombin, contact activation, and complement activation were analysed and the results were entered non-dimensionally into a non-dimensional score system, where 0 points stand for the best and 65 points for the worst evaluation. We found a good correlation between the total score and contact activation, thrombin generation and leukocyte activation in a low shear stress system and a good correlation between the total score and thrombin generation, hemolysis and platelet activation in the high shear stress system. Further on the effect of additives and sterilization procedures can be measured. The concepts presented underline the relevance/importance of an efficient diagnostic approach to hemocompatibility that takes account of clinical and socio-economic concerns. Copyright ?? 2002 .", "author" : [ { "dropping-particle" : "", "family" : "Seyfert", "given" : "Ulrich Theo", "non-dropping-particle" : "", "parse-names" : false, "suffix" : "" }, { "dropping-particle" : "", "family" : "Biehl", "given" : "Volker", "non-dropping-particle" : "", "parse-names" : false, "suffix" : "" }, { "dropping-particle" : "", "family" : "Schenk", "given" : "Joachim", "non-dropping-particle" : "", "parse-names" : false, "suffix" : "" } ], "container-title" : "Biomolecular Engineering", "id" : "ITEM-2", "issue" : "2-6", "issued" : { "date-parts" : [ [ "2002" ] ] }, "page" : "91-96", "title" : "In vitro hemocompatibility testing of biomaterials according to the ISO 10993-4", "type" : "article-journal", "volume" : "19" }, "uris" : [ "http://www.mendeley.com/documents/?uuid=0badd63d-f0ec-421f-b4d7-ca8020069eed" ] } ], "mendeley" : { "formattedCitation" : "[4, 5]", "plainTextFormattedCitation" : "[4, 5]" }, "properties" : { "noteIndex" : 0 }, "schema" : "https://github.com/citation-style-language/schema/raw/master/csl-citation.json" }</w:instrText>
      </w:r>
      <w:r w:rsidR="00853D88">
        <w:rPr>
          <w:color w:val="FF0000"/>
        </w:rPr>
        <w:fldChar w:fldCharType="separate"/>
      </w:r>
      <w:r w:rsidR="00853D88" w:rsidRPr="00853D88">
        <w:rPr>
          <w:noProof/>
        </w:rPr>
        <w:t>[4, 5]</w:t>
      </w:r>
      <w:r w:rsidR="00853D88">
        <w:rPr>
          <w:color w:val="FF0000"/>
        </w:rPr>
        <w:fldChar w:fldCharType="end"/>
      </w:r>
      <w:r w:rsidR="00862BD8">
        <w:rPr>
          <w:color w:val="FF0000"/>
        </w:rPr>
        <w:t xml:space="preserve"> </w:t>
      </w:r>
      <w:r w:rsidR="00E339C0">
        <w:t xml:space="preserve">Findings: </w:t>
      </w:r>
      <w:r>
        <w:t xml:space="preserve">BNC </w:t>
      </w:r>
      <w:r w:rsidR="00260899">
        <w:t xml:space="preserve">biomaterials </w:t>
      </w:r>
      <w:r w:rsidRPr="00457FF8">
        <w:t>are conformed by</w:t>
      </w:r>
      <w:r w:rsidR="00BB0511">
        <w:t xml:space="preserve"> </w:t>
      </w:r>
      <w:r w:rsidR="0078122A">
        <w:t>nanoribbons</w:t>
      </w:r>
      <w:r w:rsidR="00260899">
        <w:t xml:space="preserve"> network and interconnected </w:t>
      </w:r>
      <w:proofErr w:type="spellStart"/>
      <w:r w:rsidR="003F396A">
        <w:t>micropores</w:t>
      </w:r>
      <w:proofErr w:type="spellEnd"/>
      <w:r w:rsidR="00260899">
        <w:t xml:space="preserve">. </w:t>
      </w:r>
      <w:r w:rsidR="00872033">
        <w:t xml:space="preserve">Regarding </w:t>
      </w:r>
      <w:r w:rsidR="00260899">
        <w:t xml:space="preserve">to the </w:t>
      </w:r>
      <w:r w:rsidR="00872033">
        <w:t>drying processes</w:t>
      </w:r>
      <w:r w:rsidR="00260899">
        <w:t xml:space="preserve"> was found that freeze-drying biomaterials present hemolytic behavior (hemolysis percentage over 2%) and a </w:t>
      </w:r>
      <w:r w:rsidR="00AC49FA">
        <w:t>clot</w:t>
      </w:r>
      <w:r w:rsidR="00B8639A">
        <w:t>t</w:t>
      </w:r>
      <w:r w:rsidR="00AC49FA">
        <w:t>ing time under 5 minutes. These b</w:t>
      </w:r>
      <w:r w:rsidR="00454574">
        <w:t xml:space="preserve">ehavior </w:t>
      </w:r>
      <w:r w:rsidR="00AC49FA">
        <w:t xml:space="preserve">is </w:t>
      </w:r>
      <w:r w:rsidR="00454574">
        <w:t>related to friction of red blood cells with BNC nanoribbons and a quick adsorption of fibrin, whi</w:t>
      </w:r>
      <w:r w:rsidR="00AA32E2">
        <w:t>ch trigger the clotti</w:t>
      </w:r>
      <w:r w:rsidR="00454574">
        <w:t xml:space="preserve">ng </w:t>
      </w:r>
      <w:r w:rsidR="00154BFE">
        <w:t>cascade.</w:t>
      </w:r>
      <w:r w:rsidR="00AC49FA">
        <w:t xml:space="preserve"> </w:t>
      </w:r>
      <w:r w:rsidR="00D03A90">
        <w:t>Th</w:t>
      </w:r>
      <w:r w:rsidR="00154BFE">
        <w:t xml:space="preserve">e best </w:t>
      </w:r>
      <w:r w:rsidR="00D03A90">
        <w:t>result</w:t>
      </w:r>
      <w:r w:rsidR="00154BFE">
        <w:t xml:space="preserve"> was found with never-dried cellulose</w:t>
      </w:r>
      <w:r w:rsidR="00D03A90">
        <w:t>, related to the its natural water content that reduce the friction of blood cells and adsorption of fibrin</w:t>
      </w:r>
      <w:r w:rsidR="00BB0511">
        <w:t xml:space="preserve"> (F</w:t>
      </w:r>
      <w:r w:rsidR="003E6CDC">
        <w:t>igure</w:t>
      </w:r>
      <w:r w:rsidR="00D03A90">
        <w:t>)</w:t>
      </w:r>
      <w:r w:rsidR="00154BFE">
        <w:t xml:space="preserve">. </w:t>
      </w:r>
      <w:r w:rsidR="00AC49FA">
        <w:t xml:space="preserve">Respecting to the </w:t>
      </w:r>
      <w:r w:rsidR="00411CDA">
        <w:t>three-dimensional</w:t>
      </w:r>
      <w:r w:rsidR="00AC49FA">
        <w:t xml:space="preserve"> </w:t>
      </w:r>
      <w:proofErr w:type="spellStart"/>
      <w:r w:rsidR="00AC49FA">
        <w:t>microporosities</w:t>
      </w:r>
      <w:proofErr w:type="spellEnd"/>
      <w:r w:rsidR="00411CDA">
        <w:t>, there was no</w:t>
      </w:r>
      <w:r w:rsidR="00BB0511">
        <w:t>t</w:t>
      </w:r>
      <w:r w:rsidR="00AC49FA">
        <w:t xml:space="preserve"> found statistically difference</w:t>
      </w:r>
      <w:r w:rsidR="00AA32E2">
        <w:t xml:space="preserve"> in hemolytic and clott</w:t>
      </w:r>
      <w:r w:rsidR="00154BFE">
        <w:t>ing time</w:t>
      </w:r>
      <w:r w:rsidR="00D03A90">
        <w:t>;</w:t>
      </w:r>
      <w:r w:rsidR="00411CDA">
        <w:t xml:space="preserve"> </w:t>
      </w:r>
      <w:r w:rsidR="00D03A90">
        <w:t xml:space="preserve">however, according to SEM images, </w:t>
      </w:r>
      <w:proofErr w:type="spellStart"/>
      <w:r w:rsidR="00D03A90">
        <w:t>microporosities</w:t>
      </w:r>
      <w:proofErr w:type="spellEnd"/>
      <w:r w:rsidR="00D03A90">
        <w:t xml:space="preserve"> promotes</w:t>
      </w:r>
      <w:r w:rsidR="00154BFE">
        <w:t xml:space="preserve"> the interaction of blood cells with the biomaterial. </w:t>
      </w:r>
      <w:r w:rsidR="00E339C0">
        <w:t xml:space="preserve">Conclusion &amp; Significance: </w:t>
      </w:r>
      <w:r w:rsidR="00D93AD5" w:rsidRPr="00FD4931">
        <w:rPr>
          <w:bCs/>
        </w:rPr>
        <w:t>Never-dried cellulose was found to performed a</w:t>
      </w:r>
      <w:r w:rsidR="00D15D87" w:rsidRPr="00FD4931">
        <w:rPr>
          <w:bCs/>
        </w:rPr>
        <w:t>n appropriate blood response comp</w:t>
      </w:r>
      <w:r w:rsidR="00BB0511">
        <w:rPr>
          <w:bCs/>
        </w:rPr>
        <w:t>ared with freeze and oven dried.</w:t>
      </w:r>
      <w:r w:rsidR="00D15D87" w:rsidRPr="00FD4931">
        <w:rPr>
          <w:bCs/>
        </w:rPr>
        <w:t xml:space="preserve"> </w:t>
      </w:r>
      <w:r w:rsidR="00BB0511">
        <w:rPr>
          <w:bCs/>
        </w:rPr>
        <w:t>F</w:t>
      </w:r>
      <w:r w:rsidR="00D15D87" w:rsidRPr="00FD4931">
        <w:rPr>
          <w:bCs/>
        </w:rPr>
        <w:t>urthermore</w:t>
      </w:r>
      <w:r w:rsidR="00BB0511">
        <w:rPr>
          <w:bCs/>
        </w:rPr>
        <w:t>,</w:t>
      </w:r>
      <w:r w:rsidR="00D15D87" w:rsidRPr="00FD4931">
        <w:rPr>
          <w:bCs/>
        </w:rPr>
        <w:t xml:space="preserve"> never-dried </w:t>
      </w:r>
      <w:r w:rsidR="00D03A90" w:rsidRPr="00FD4931">
        <w:rPr>
          <w:bCs/>
        </w:rPr>
        <w:t>BNC</w:t>
      </w:r>
      <w:r w:rsidR="00BB0511">
        <w:rPr>
          <w:bCs/>
        </w:rPr>
        <w:t xml:space="preserve"> </w:t>
      </w:r>
      <w:r w:rsidR="00D03A90" w:rsidRPr="00FD4931">
        <w:rPr>
          <w:bCs/>
        </w:rPr>
        <w:t>allow</w:t>
      </w:r>
      <w:r w:rsidR="00BB0511">
        <w:rPr>
          <w:bCs/>
        </w:rPr>
        <w:t>s</w:t>
      </w:r>
      <w:r w:rsidR="00D03A90" w:rsidRPr="00FD4931">
        <w:rPr>
          <w:bCs/>
        </w:rPr>
        <w:t xml:space="preserve"> the conformation of</w:t>
      </w:r>
      <w:r w:rsidR="00BB0511">
        <w:rPr>
          <w:bCs/>
        </w:rPr>
        <w:t xml:space="preserve"> </w:t>
      </w:r>
      <w:proofErr w:type="spellStart"/>
      <w:r w:rsidR="00BB0511">
        <w:rPr>
          <w:bCs/>
        </w:rPr>
        <w:t>hemocompatible</w:t>
      </w:r>
      <w:proofErr w:type="spellEnd"/>
      <w:r w:rsidR="00D03A90" w:rsidRPr="00FD4931">
        <w:rPr>
          <w:bCs/>
        </w:rPr>
        <w:t xml:space="preserve"> three-dimensional biomaterials,</w:t>
      </w:r>
      <w:r w:rsidR="00BB0511">
        <w:rPr>
          <w:bCs/>
        </w:rPr>
        <w:t xml:space="preserve"> </w:t>
      </w:r>
      <w:r w:rsidR="00D03A90" w:rsidRPr="00FD4931">
        <w:rPr>
          <w:bCs/>
        </w:rPr>
        <w:t>which are useful for the development of cell interactive scaffolds</w:t>
      </w:r>
      <w:r w:rsidR="00BB0511">
        <w:rPr>
          <w:bCs/>
        </w:rPr>
        <w:t xml:space="preserve">. </w:t>
      </w:r>
      <w:r w:rsidR="00D03A90" w:rsidRPr="00FD4931">
        <w:rPr>
          <w:bCs/>
        </w:rPr>
        <w:t xml:space="preserve">In prospective these biomaterials are appropriate for future development of </w:t>
      </w:r>
      <w:r w:rsidR="00550C81" w:rsidRPr="00FD4931">
        <w:rPr>
          <w:bCs/>
        </w:rPr>
        <w:t xml:space="preserve">new </w:t>
      </w:r>
      <w:r w:rsidR="00550C81" w:rsidRPr="00FD4931">
        <w:rPr>
          <w:bCs/>
        </w:rPr>
        <w:lastRenderedPageBreak/>
        <w:t>implantable biomedical devise</w:t>
      </w:r>
      <w:r w:rsidR="00D03A90" w:rsidRPr="00FD4931">
        <w:rPr>
          <w:bCs/>
        </w:rPr>
        <w:t>s</w:t>
      </w:r>
      <w:r w:rsidR="00550C81" w:rsidRPr="00FD4931">
        <w:rPr>
          <w:bCs/>
        </w:rPr>
        <w:t xml:space="preserve"> based on BNC for blood contact</w:t>
      </w:r>
      <w:r w:rsidR="00A97897">
        <w:rPr>
          <w:bCs/>
        </w:rPr>
        <w:t>, taking advantage</w:t>
      </w:r>
      <w:r w:rsidR="00D03A90" w:rsidRPr="00FD4931">
        <w:rPr>
          <w:bCs/>
        </w:rPr>
        <w:t xml:space="preserve"> of nanotechnology.</w:t>
      </w:r>
    </w:p>
    <w:p w14:paraId="783909D5" w14:textId="77777777" w:rsidR="008D7AD1" w:rsidRDefault="005672F8" w:rsidP="005672F8">
      <w:pPr>
        <w:pStyle w:val="Ttulo3"/>
        <w:spacing w:before="74"/>
        <w:jc w:val="center"/>
        <w:rPr>
          <w:b w:val="0"/>
        </w:rPr>
      </w:pPr>
      <w:r w:rsidRPr="005672F8">
        <w:rPr>
          <w:b w:val="0"/>
          <w:noProof/>
          <w:lang w:val="es-ES_tradnl" w:eastAsia="es-ES_tradnl"/>
        </w:rPr>
        <w:drawing>
          <wp:inline distT="0" distB="0" distL="0" distR="0" wp14:anchorId="0AD30C56" wp14:editId="5D8CEEAC">
            <wp:extent cx="2229897" cy="1493159"/>
            <wp:effectExtent l="0" t="0" r="5715" b="5715"/>
            <wp:docPr id="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pic:cNvPicPr>
                  </pic:nvPicPr>
                  <pic:blipFill>
                    <a:blip r:embed="rId13"/>
                    <a:stretch>
                      <a:fillRect/>
                    </a:stretch>
                  </pic:blipFill>
                  <pic:spPr>
                    <a:xfrm>
                      <a:off x="0" y="0"/>
                      <a:ext cx="2231785" cy="1494423"/>
                    </a:xfrm>
                    <a:prstGeom prst="rect">
                      <a:avLst/>
                    </a:prstGeom>
                  </pic:spPr>
                </pic:pic>
              </a:graphicData>
            </a:graphic>
          </wp:inline>
        </w:drawing>
      </w:r>
    </w:p>
    <w:p w14:paraId="3F3B3A53" w14:textId="77777777" w:rsidR="00D03A90" w:rsidRPr="00E663E5" w:rsidRDefault="003E6CDC" w:rsidP="00D3398B">
      <w:pPr>
        <w:autoSpaceDE w:val="0"/>
        <w:autoSpaceDN w:val="0"/>
        <w:adjustRightInd w:val="0"/>
        <w:spacing w:before="80"/>
        <w:ind w:left="640" w:hanging="640"/>
        <w:jc w:val="center"/>
        <w:rPr>
          <w:sz w:val="18"/>
          <w:szCs w:val="18"/>
        </w:rPr>
      </w:pPr>
      <w:r>
        <w:rPr>
          <w:color w:val="BF5A14"/>
        </w:rPr>
        <w:t>Figure.</w:t>
      </w:r>
      <w:r w:rsidR="00E84E75">
        <w:rPr>
          <w:color w:val="BF5A14"/>
        </w:rPr>
        <w:t xml:space="preserve"> </w:t>
      </w:r>
      <w:r w:rsidR="00E663E5" w:rsidRPr="00E663E5">
        <w:rPr>
          <w:sz w:val="18"/>
          <w:szCs w:val="18"/>
        </w:rPr>
        <w:t>BNC</w:t>
      </w:r>
      <w:r w:rsidR="00E663E5">
        <w:rPr>
          <w:sz w:val="18"/>
          <w:szCs w:val="18"/>
        </w:rPr>
        <w:t xml:space="preserve"> water content reduce the friction of red blood cells </w:t>
      </w:r>
      <w:r w:rsidR="00D3398B">
        <w:rPr>
          <w:sz w:val="18"/>
          <w:szCs w:val="18"/>
        </w:rPr>
        <w:t>and the adsorption of fibrin</w:t>
      </w:r>
    </w:p>
    <w:p w14:paraId="5E394510" w14:textId="77777777" w:rsidR="00405215" w:rsidRPr="00E663E5" w:rsidRDefault="00405215" w:rsidP="00E663E5">
      <w:pPr>
        <w:pStyle w:val="Ttulo3"/>
        <w:spacing w:before="147"/>
        <w:jc w:val="both"/>
        <w:rPr>
          <w:color w:val="BF5A14"/>
        </w:rPr>
      </w:pPr>
      <w:r w:rsidRPr="00E663E5">
        <w:rPr>
          <w:color w:val="BF5A14"/>
        </w:rPr>
        <w:t xml:space="preserve">Recent publications: </w:t>
      </w:r>
    </w:p>
    <w:p w14:paraId="561B5885" w14:textId="77777777" w:rsidR="00853D88" w:rsidRPr="00853D88" w:rsidRDefault="00405215" w:rsidP="00853D88">
      <w:pPr>
        <w:autoSpaceDE w:val="0"/>
        <w:autoSpaceDN w:val="0"/>
        <w:adjustRightInd w:val="0"/>
        <w:spacing w:before="80"/>
        <w:ind w:left="284" w:hanging="284"/>
        <w:jc w:val="both"/>
        <w:rPr>
          <w:rFonts w:ascii="Calibri" w:eastAsia="Times New Roman" w:hAnsi="Calibri" w:cs="Arial"/>
          <w:noProof/>
          <w:sz w:val="18"/>
          <w:szCs w:val="18"/>
        </w:rPr>
      </w:pPr>
      <w:r>
        <w:rPr>
          <w:b/>
        </w:rPr>
        <w:fldChar w:fldCharType="begin" w:fldLock="1"/>
      </w:r>
      <w:r>
        <w:rPr>
          <w:b/>
        </w:rPr>
        <w:instrText xml:space="preserve">ADDIN Mendeley Bibliography CSL_BIBLIOGRAPHY </w:instrText>
      </w:r>
      <w:r>
        <w:rPr>
          <w:b/>
        </w:rPr>
        <w:fldChar w:fldCharType="separate"/>
      </w:r>
      <w:r w:rsidR="00853D88" w:rsidRPr="00853D88">
        <w:rPr>
          <w:rFonts w:ascii="Arial" w:eastAsia="Times New Roman" w:hAnsi="Arial" w:cs="Arial"/>
          <w:noProof/>
          <w:sz w:val="20"/>
        </w:rPr>
        <w:t xml:space="preserve">[1] </w:t>
      </w:r>
      <w:r w:rsidR="00853D88" w:rsidRPr="00853D88">
        <w:rPr>
          <w:rFonts w:ascii="Arial" w:eastAsia="Times New Roman" w:hAnsi="Arial" w:cs="Arial"/>
          <w:noProof/>
          <w:sz w:val="20"/>
        </w:rPr>
        <w:tab/>
      </w:r>
      <w:r w:rsidR="00853D88" w:rsidRPr="00853D88">
        <w:rPr>
          <w:rFonts w:ascii="Calibri" w:eastAsia="Times New Roman" w:hAnsi="Calibri" w:cs="Arial"/>
          <w:noProof/>
          <w:sz w:val="18"/>
          <w:szCs w:val="18"/>
        </w:rPr>
        <w:t xml:space="preserve">Gama M, Gatenholm P, Klemm D, et al. </w:t>
      </w:r>
      <w:r w:rsidR="00853D88" w:rsidRPr="00853D88">
        <w:rPr>
          <w:rFonts w:ascii="Calibri" w:eastAsia="Times New Roman" w:hAnsi="Calibri" w:cs="Arial"/>
          <w:i/>
          <w:iCs/>
          <w:noProof/>
          <w:sz w:val="18"/>
          <w:szCs w:val="18"/>
        </w:rPr>
        <w:t>Bacterial nanoCellulose a sophisticates multifunctional material</w:t>
      </w:r>
      <w:r w:rsidR="00853D88" w:rsidRPr="00853D88">
        <w:rPr>
          <w:rFonts w:ascii="Calibri" w:eastAsia="Times New Roman" w:hAnsi="Calibri" w:cs="Arial"/>
          <w:noProof/>
          <w:sz w:val="18"/>
          <w:szCs w:val="18"/>
        </w:rPr>
        <w:t>. Boca Raton: CRC Press Taylor &amp; Francis Group, 2013.</w:t>
      </w:r>
    </w:p>
    <w:p w14:paraId="721FBAC2" w14:textId="77777777" w:rsidR="00853D88" w:rsidRPr="00853D88" w:rsidRDefault="00853D88" w:rsidP="00853D88">
      <w:pPr>
        <w:autoSpaceDE w:val="0"/>
        <w:autoSpaceDN w:val="0"/>
        <w:adjustRightInd w:val="0"/>
        <w:spacing w:before="80"/>
        <w:ind w:left="284" w:hanging="284"/>
        <w:jc w:val="both"/>
        <w:rPr>
          <w:rFonts w:ascii="Calibri" w:eastAsia="Times New Roman" w:hAnsi="Calibri" w:cs="Arial"/>
          <w:noProof/>
          <w:sz w:val="18"/>
          <w:szCs w:val="18"/>
        </w:rPr>
      </w:pPr>
      <w:r w:rsidRPr="00853D88">
        <w:rPr>
          <w:rFonts w:ascii="Calibri" w:eastAsia="Times New Roman" w:hAnsi="Calibri" w:cs="Arial"/>
          <w:noProof/>
          <w:sz w:val="18"/>
          <w:szCs w:val="18"/>
        </w:rPr>
        <w:t xml:space="preserve">[2] </w:t>
      </w:r>
      <w:r w:rsidRPr="00853D88">
        <w:rPr>
          <w:rFonts w:ascii="Calibri" w:eastAsia="Times New Roman" w:hAnsi="Calibri" w:cs="Arial"/>
          <w:noProof/>
          <w:sz w:val="18"/>
          <w:szCs w:val="18"/>
        </w:rPr>
        <w:tab/>
        <w:t xml:space="preserve">Krontiras P, Gatenholm P, Hagg DA. Adipogenic differentiation of stem cells in three-dimensional porous bacterial nanocellulose scaffolds. </w:t>
      </w:r>
      <w:r w:rsidRPr="00853D88">
        <w:rPr>
          <w:rFonts w:ascii="Calibri" w:eastAsia="Times New Roman" w:hAnsi="Calibri" w:cs="Arial"/>
          <w:i/>
          <w:iCs/>
          <w:noProof/>
          <w:sz w:val="18"/>
          <w:szCs w:val="18"/>
        </w:rPr>
        <w:t>J Biomed Mater Res Part B Appl Biomater</w:t>
      </w:r>
      <w:r w:rsidRPr="00853D88">
        <w:rPr>
          <w:rFonts w:ascii="Calibri" w:eastAsia="Times New Roman" w:hAnsi="Calibri" w:cs="Arial"/>
          <w:noProof/>
          <w:sz w:val="18"/>
          <w:szCs w:val="18"/>
        </w:rPr>
        <w:t xml:space="preserve"> 2015; 103: 195–203.</w:t>
      </w:r>
    </w:p>
    <w:p w14:paraId="464C9984" w14:textId="77777777" w:rsidR="00853D88" w:rsidRPr="00853D88" w:rsidRDefault="00853D88" w:rsidP="00853D88">
      <w:pPr>
        <w:autoSpaceDE w:val="0"/>
        <w:autoSpaceDN w:val="0"/>
        <w:adjustRightInd w:val="0"/>
        <w:spacing w:before="80"/>
        <w:ind w:left="284" w:hanging="284"/>
        <w:jc w:val="both"/>
        <w:rPr>
          <w:rFonts w:ascii="Calibri" w:eastAsia="Times New Roman" w:hAnsi="Calibri" w:cs="Arial"/>
          <w:noProof/>
          <w:sz w:val="18"/>
          <w:szCs w:val="18"/>
        </w:rPr>
      </w:pPr>
      <w:r w:rsidRPr="00853D88">
        <w:rPr>
          <w:rFonts w:ascii="Calibri" w:eastAsia="Times New Roman" w:hAnsi="Calibri" w:cs="Arial"/>
          <w:noProof/>
          <w:sz w:val="18"/>
          <w:szCs w:val="18"/>
        </w:rPr>
        <w:t xml:space="preserve">[3] </w:t>
      </w:r>
      <w:r w:rsidRPr="00853D88">
        <w:rPr>
          <w:rFonts w:ascii="Calibri" w:eastAsia="Times New Roman" w:hAnsi="Calibri" w:cs="Arial"/>
          <w:noProof/>
          <w:sz w:val="18"/>
          <w:szCs w:val="18"/>
        </w:rPr>
        <w:tab/>
        <w:t xml:space="preserve">Castro C, Cleenwerck I, Trcek J, et al. Gluconacetobacter medellinensis sp. nov., cellulose- and non-cellulose-producing acetic acid bacteria isolated from vinegar. </w:t>
      </w:r>
      <w:r w:rsidRPr="00853D88">
        <w:rPr>
          <w:rFonts w:ascii="Calibri" w:eastAsia="Times New Roman" w:hAnsi="Calibri" w:cs="Arial"/>
          <w:i/>
          <w:iCs/>
          <w:noProof/>
          <w:sz w:val="18"/>
          <w:szCs w:val="18"/>
        </w:rPr>
        <w:t>Int J Syst Evol Microbiol</w:t>
      </w:r>
      <w:r w:rsidRPr="00853D88">
        <w:rPr>
          <w:rFonts w:ascii="Calibri" w:eastAsia="Times New Roman" w:hAnsi="Calibri" w:cs="Arial"/>
          <w:noProof/>
          <w:sz w:val="18"/>
          <w:szCs w:val="18"/>
        </w:rPr>
        <w:t xml:space="preserve"> 2013; 63: 1119–25.</w:t>
      </w:r>
    </w:p>
    <w:p w14:paraId="03AA2C4E" w14:textId="77777777" w:rsidR="00853D88" w:rsidRPr="00853D88" w:rsidRDefault="00853D88" w:rsidP="00853D88">
      <w:pPr>
        <w:autoSpaceDE w:val="0"/>
        <w:autoSpaceDN w:val="0"/>
        <w:adjustRightInd w:val="0"/>
        <w:spacing w:before="80"/>
        <w:ind w:left="284" w:hanging="284"/>
        <w:jc w:val="both"/>
        <w:rPr>
          <w:rFonts w:ascii="Calibri" w:eastAsia="Times New Roman" w:hAnsi="Calibri" w:cs="Arial"/>
          <w:noProof/>
          <w:sz w:val="18"/>
          <w:szCs w:val="18"/>
        </w:rPr>
      </w:pPr>
      <w:r w:rsidRPr="00853D88">
        <w:rPr>
          <w:rFonts w:ascii="Calibri" w:eastAsia="Times New Roman" w:hAnsi="Calibri" w:cs="Arial"/>
          <w:noProof/>
          <w:sz w:val="18"/>
          <w:szCs w:val="18"/>
        </w:rPr>
        <w:t xml:space="preserve">[4] </w:t>
      </w:r>
      <w:r w:rsidRPr="00853D88">
        <w:rPr>
          <w:rFonts w:ascii="Calibri" w:eastAsia="Times New Roman" w:hAnsi="Calibri" w:cs="Arial"/>
          <w:noProof/>
          <w:sz w:val="18"/>
          <w:szCs w:val="18"/>
        </w:rPr>
        <w:tab/>
        <w:t>American Society for Testing and Materials. Standard Practice for Assessment of Hemolytic Properties of Materials. 2016; 1–5.</w:t>
      </w:r>
    </w:p>
    <w:p w14:paraId="32726D86" w14:textId="77777777" w:rsidR="00853D88" w:rsidRPr="00853D88" w:rsidRDefault="00853D88" w:rsidP="00853D88">
      <w:pPr>
        <w:autoSpaceDE w:val="0"/>
        <w:autoSpaceDN w:val="0"/>
        <w:adjustRightInd w:val="0"/>
        <w:spacing w:before="80"/>
        <w:ind w:left="284" w:hanging="284"/>
        <w:jc w:val="both"/>
        <w:rPr>
          <w:rFonts w:ascii="Calibri" w:hAnsi="Calibri" w:cs="Arial"/>
          <w:noProof/>
          <w:sz w:val="18"/>
          <w:szCs w:val="18"/>
        </w:rPr>
      </w:pPr>
      <w:r w:rsidRPr="00853D88">
        <w:rPr>
          <w:rFonts w:ascii="Calibri" w:eastAsia="Times New Roman" w:hAnsi="Calibri" w:cs="Arial"/>
          <w:noProof/>
          <w:sz w:val="18"/>
          <w:szCs w:val="18"/>
        </w:rPr>
        <w:t xml:space="preserve">[5] </w:t>
      </w:r>
      <w:r w:rsidRPr="00853D88">
        <w:rPr>
          <w:rFonts w:ascii="Calibri" w:eastAsia="Times New Roman" w:hAnsi="Calibri" w:cs="Arial"/>
          <w:noProof/>
          <w:sz w:val="18"/>
          <w:szCs w:val="18"/>
        </w:rPr>
        <w:tab/>
        <w:t xml:space="preserve">Seyfert UT, Biehl V, Schenk J. In vitro hemocompatibility testing of biomaterials according to the ISO 10993-4. </w:t>
      </w:r>
      <w:r w:rsidRPr="00853D88">
        <w:rPr>
          <w:rFonts w:ascii="Calibri" w:eastAsia="Times New Roman" w:hAnsi="Calibri" w:cs="Arial"/>
          <w:i/>
          <w:iCs/>
          <w:noProof/>
          <w:sz w:val="18"/>
          <w:szCs w:val="18"/>
        </w:rPr>
        <w:t>Biomol Eng</w:t>
      </w:r>
      <w:r w:rsidRPr="00853D88">
        <w:rPr>
          <w:rFonts w:ascii="Calibri" w:eastAsia="Times New Roman" w:hAnsi="Calibri" w:cs="Arial"/>
          <w:noProof/>
          <w:sz w:val="18"/>
          <w:szCs w:val="18"/>
        </w:rPr>
        <w:t xml:space="preserve"> 2002; 19: 91–96.</w:t>
      </w:r>
    </w:p>
    <w:p w14:paraId="6AE08891" w14:textId="77777777" w:rsidR="00AE3E37" w:rsidRPr="003E6CDC" w:rsidRDefault="00405215" w:rsidP="003E6CDC">
      <w:pPr>
        <w:autoSpaceDE w:val="0"/>
        <w:autoSpaceDN w:val="0"/>
        <w:adjustRightInd w:val="0"/>
        <w:spacing w:before="80"/>
        <w:ind w:left="640" w:hanging="640"/>
        <w:rPr>
          <w:rFonts w:ascii="Arial"/>
          <w:b/>
          <w:sz w:val="20"/>
        </w:rPr>
        <w:sectPr w:rsidR="00AE3E37" w:rsidRPr="003E6CDC">
          <w:type w:val="continuous"/>
          <w:pgSz w:w="11910" w:h="16840"/>
          <w:pgMar w:top="1740" w:right="600" w:bottom="840" w:left="620" w:header="720" w:footer="720" w:gutter="0"/>
          <w:cols w:num="2" w:space="720" w:equalWidth="0">
            <w:col w:w="5214" w:space="138"/>
            <w:col w:w="5338"/>
          </w:cols>
        </w:sectPr>
      </w:pPr>
      <w:r>
        <w:rPr>
          <w:b/>
        </w:rPr>
        <w:fldChar w:fldCharType="end"/>
      </w:r>
      <w:r w:rsidR="008756E6">
        <w:rPr>
          <w:rFonts w:ascii="Calibri" w:hAnsi="Calibri"/>
        </w:rPr>
        <w:t xml:space="preserve"> </w:t>
      </w:r>
    </w:p>
    <w:p w14:paraId="42E4092E" w14:textId="77777777" w:rsidR="00AE3E37" w:rsidRDefault="00AE3E37">
      <w:pPr>
        <w:pStyle w:val="Textoindependiente"/>
        <w:rPr>
          <w:rFonts w:ascii="Calibri"/>
          <w:sz w:val="20"/>
        </w:rPr>
      </w:pPr>
    </w:p>
    <w:p w14:paraId="4140EFC5" w14:textId="77777777" w:rsidR="00AE3E37" w:rsidRDefault="00292ED9">
      <w:pPr>
        <w:pStyle w:val="Textoindependiente"/>
        <w:spacing w:line="40" w:lineRule="exact"/>
        <w:ind w:left="2202"/>
        <w:rPr>
          <w:rFonts w:ascii="Calibri"/>
          <w:sz w:val="4"/>
        </w:rPr>
      </w:pPr>
      <w:r>
        <w:rPr>
          <w:rFonts w:ascii="Calibri"/>
          <w:noProof/>
          <w:sz w:val="4"/>
          <w:lang w:val="es-ES_tradnl" w:eastAsia="es-ES_tradnl"/>
        </w:rPr>
        <mc:AlternateContent>
          <mc:Choice Requires="wpg">
            <w:drawing>
              <wp:inline distT="0" distB="0" distL="0" distR="0" wp14:anchorId="02AD1581" wp14:editId="451EA13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55885BE"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ECCa3plAgAASwUAAA4AAAAAAAAAAAAAAAAALAIAAGRycy9lMm9E&#10;b2MueG1sUEsBAi0AFAAGAAgAAAAhANJJbznbAAAAAwEAAA8AAAAAAAAAAAAAAAAAvQQAAGRycy9k&#10;b3ducmV2LnhtbFBLBQYAAAAABAAEAPMAAADF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733B2C09" w14:textId="4D361DF9" w:rsidR="00AE3E37" w:rsidRDefault="00513EAF" w:rsidP="00404E5B">
      <w:pPr>
        <w:spacing w:before="92"/>
        <w:ind w:right="4234"/>
        <w:rPr>
          <w:rFonts w:ascii="Arial"/>
        </w:rPr>
      </w:pPr>
      <w:r>
        <w:rPr>
          <w:noProof/>
        </w:rPr>
        <w:lastRenderedPageBreak/>
        <w:t xml:space="preserve"> </w:t>
      </w:r>
      <w:r w:rsidR="008756E6">
        <w:rPr>
          <w:noProof/>
        </w:rPr>
        <w:t xml:space="preserve">   </w:t>
      </w:r>
      <w:r w:rsidR="00C121E2">
        <w:rPr>
          <w:noProof/>
          <w:lang w:val="es-ES_tradnl" w:eastAsia="es-ES_tradnl"/>
        </w:rPr>
        <w:drawing>
          <wp:inline distT="0" distB="0" distL="0" distR="0" wp14:anchorId="431CCE3F" wp14:editId="0469BE78">
            <wp:extent cx="756354" cy="987991"/>
            <wp:effectExtent l="0" t="0" r="5715" b="3175"/>
            <wp:docPr id="1" name="Picture 1" descr="../../../../../Pictures/Photos%20Library.photoslibrary/resources/proxies/derivatives/15/00/1509/aSvCKn5XRf2FYvnNgfNcDg_thumb_15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s/Photos%20Library.photoslibrary/resources/proxies/derivatives/15/00/1509/aSvCKn5XRf2FYvnNgfNcDg_thumb_1509.jpg"/>
                    <pic:cNvPicPr>
                      <a:picLocks noChangeAspect="1" noChangeArrowheads="1"/>
                    </pic:cNvPicPr>
                  </pic:nvPicPr>
                  <pic:blipFill>
                    <a:blip r:embed="rId14" cstate="print">
                      <a:alphaModFix/>
                      <a:extLst>
                        <a:ext uri="{BEBA8EAE-BF5A-486C-A8C5-ECC9F3942E4B}">
                          <a14:imgProps xmlns:a14="http://schemas.microsoft.com/office/drawing/2010/main">
                            <a14:imgLayer r:embed="rId15">
                              <a14:imgEffect>
                                <a14:backgroundRemoval t="0" b="100000" l="0" r="100000">
                                  <a14:foregroundMark x1="50765" y1="3906" x2="50765" y2="3906"/>
                                  <a14:foregroundMark x1="47066" y1="4590" x2="47066" y2="4590"/>
                                  <a14:foregroundMark x1="78307" y1="85425" x2="78307" y2="85425"/>
                                  <a14:foregroundMark x1="43915" y1="91093" x2="43915" y2="91093"/>
                                  <a14:backgroundMark x1="53444" y1="3613" x2="53444" y2="3613"/>
                                </a14:backgroundRemoval>
                              </a14:imgEffect>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785809" cy="1026467"/>
                    </a:xfrm>
                    <a:prstGeom prst="roundRect">
                      <a:avLst>
                        <a:gd name="adj" fmla="val 8594"/>
                      </a:avLst>
                    </a:prstGeom>
                    <a:solidFill>
                      <a:srgbClr val="FFFFFF">
                        <a:shade val="85000"/>
                      </a:srgbClr>
                    </a:solidFill>
                    <a:ln>
                      <a:noFill/>
                    </a:ln>
                    <a:effectLst>
                      <a:reflection blurRad="12700" endPos="0" dist="5000" dir="5400000" sy="-100000" algn="bl" rotWithShape="0"/>
                    </a:effectLst>
                  </pic:spPr>
                </pic:pic>
              </a:graphicData>
            </a:graphic>
          </wp:inline>
        </w:drawing>
      </w:r>
      <w:r w:rsidR="008756E6">
        <w:rPr>
          <w:noProof/>
        </w:rPr>
        <w:t xml:space="preserve"> </w:t>
      </w:r>
      <w:r w:rsidR="00C121E2">
        <w:rPr>
          <w:noProof/>
        </w:rPr>
        <w:t xml:space="preserve"> </w:t>
      </w:r>
      <w:r w:rsidR="008756E6">
        <w:rPr>
          <w:noProof/>
        </w:rPr>
        <w:t xml:space="preserve"> </w:t>
      </w:r>
      <w:r w:rsidR="00A9710C">
        <w:rPr>
          <w:rFonts w:ascii="Arial"/>
          <w:color w:val="BF5A14"/>
        </w:rPr>
        <w:t>Biography</w:t>
      </w:r>
    </w:p>
    <w:p w14:paraId="40153C72" w14:textId="77777777" w:rsidR="00AE3E37" w:rsidRDefault="001F1C63">
      <w:pPr>
        <w:spacing w:before="41" w:line="154" w:lineRule="exact"/>
        <w:ind w:left="213" w:right="231"/>
        <w:jc w:val="both"/>
        <w:rPr>
          <w:rFonts w:ascii="Arial"/>
          <w:sz w:val="14"/>
        </w:rPr>
      </w:pPr>
      <w:proofErr w:type="spellStart"/>
      <w:r>
        <w:rPr>
          <w:rFonts w:ascii="Arial"/>
          <w:sz w:val="14"/>
        </w:rPr>
        <w:t>Estefan</w:t>
      </w:r>
      <w:r>
        <w:rPr>
          <w:rFonts w:ascii="Arial"/>
          <w:sz w:val="14"/>
        </w:rPr>
        <w:t>í</w:t>
      </w:r>
      <w:r>
        <w:rPr>
          <w:rFonts w:ascii="Arial"/>
          <w:sz w:val="14"/>
        </w:rPr>
        <w:t>a</w:t>
      </w:r>
      <w:proofErr w:type="spellEnd"/>
      <w:r>
        <w:rPr>
          <w:rFonts w:ascii="Arial"/>
          <w:sz w:val="14"/>
        </w:rPr>
        <w:t xml:space="preserve"> Martinez C. is a </w:t>
      </w:r>
      <w:proofErr w:type="spellStart"/>
      <w:r>
        <w:rPr>
          <w:rFonts w:ascii="Arial"/>
          <w:sz w:val="14"/>
        </w:rPr>
        <w:t>registred</w:t>
      </w:r>
      <w:proofErr w:type="spellEnd"/>
      <w:r>
        <w:rPr>
          <w:rFonts w:ascii="Arial"/>
          <w:sz w:val="14"/>
        </w:rPr>
        <w:t xml:space="preserve"> nurse fro</w:t>
      </w:r>
      <w:r w:rsidR="009E6C2A">
        <w:rPr>
          <w:rFonts w:ascii="Arial"/>
          <w:sz w:val="14"/>
        </w:rPr>
        <w:t>m the Universidad de Antioquia. Nowadays</w:t>
      </w:r>
      <w:r>
        <w:rPr>
          <w:rFonts w:ascii="Arial"/>
          <w:sz w:val="14"/>
        </w:rPr>
        <w:t xml:space="preserve"> </w:t>
      </w:r>
      <w:r w:rsidR="009E6C2A">
        <w:rPr>
          <w:rFonts w:ascii="Arial"/>
          <w:sz w:val="14"/>
        </w:rPr>
        <w:t>she</w:t>
      </w:r>
      <w:r>
        <w:rPr>
          <w:rFonts w:ascii="Arial"/>
          <w:sz w:val="14"/>
        </w:rPr>
        <w:t xml:space="preserve"> is advancing in her undergraduate studies in Nanotechnology </w:t>
      </w:r>
      <w:r w:rsidR="00D034D5">
        <w:rPr>
          <w:rFonts w:ascii="Arial"/>
          <w:sz w:val="14"/>
        </w:rPr>
        <w:t>Engineering</w:t>
      </w:r>
      <w:r w:rsidR="009E6C2A">
        <w:rPr>
          <w:rFonts w:ascii="Arial"/>
          <w:sz w:val="14"/>
        </w:rPr>
        <w:t xml:space="preserve"> at the Universidad </w:t>
      </w:r>
      <w:proofErr w:type="spellStart"/>
      <w:r w:rsidR="009E6C2A">
        <w:rPr>
          <w:rFonts w:ascii="Arial"/>
          <w:sz w:val="14"/>
        </w:rPr>
        <w:t>Pontificia</w:t>
      </w:r>
      <w:proofErr w:type="spellEnd"/>
      <w:r w:rsidR="009E6C2A">
        <w:rPr>
          <w:rFonts w:ascii="Arial"/>
          <w:sz w:val="14"/>
        </w:rPr>
        <w:t xml:space="preserve"> </w:t>
      </w:r>
      <w:proofErr w:type="spellStart"/>
      <w:r w:rsidR="009E6C2A">
        <w:rPr>
          <w:rFonts w:ascii="Arial"/>
          <w:sz w:val="14"/>
        </w:rPr>
        <w:t>Bolivariana</w:t>
      </w:r>
      <w:proofErr w:type="spellEnd"/>
      <w:r>
        <w:rPr>
          <w:rFonts w:ascii="Arial"/>
          <w:sz w:val="14"/>
        </w:rPr>
        <w:t xml:space="preserve">, where </w:t>
      </w:r>
      <w:r w:rsidR="009E6C2A">
        <w:rPr>
          <w:rFonts w:ascii="Arial"/>
          <w:sz w:val="14"/>
        </w:rPr>
        <w:t xml:space="preserve">she </w:t>
      </w:r>
      <w:r>
        <w:rPr>
          <w:rFonts w:ascii="Arial"/>
          <w:sz w:val="14"/>
        </w:rPr>
        <w:t>start</w:t>
      </w:r>
      <w:r w:rsidR="009E6C2A">
        <w:rPr>
          <w:rFonts w:ascii="Arial"/>
          <w:sz w:val="14"/>
        </w:rPr>
        <w:t>s</w:t>
      </w:r>
      <w:r>
        <w:rPr>
          <w:rFonts w:ascii="Arial"/>
          <w:sz w:val="14"/>
        </w:rPr>
        <w:t xml:space="preserve"> to work in th</w:t>
      </w:r>
      <w:r w:rsidR="009E6C2A">
        <w:rPr>
          <w:rFonts w:ascii="Arial"/>
          <w:sz w:val="14"/>
        </w:rPr>
        <w:t>e New Materials Research Group (GINUMA)</w:t>
      </w:r>
      <w:r>
        <w:rPr>
          <w:rFonts w:ascii="Arial"/>
          <w:sz w:val="14"/>
        </w:rPr>
        <w:t xml:space="preserve"> in the evaluation of wound dressings</w:t>
      </w:r>
      <w:r w:rsidR="007756BA">
        <w:rPr>
          <w:rFonts w:ascii="Arial"/>
          <w:sz w:val="14"/>
        </w:rPr>
        <w:t xml:space="preserve"> </w:t>
      </w:r>
      <w:r>
        <w:rPr>
          <w:rFonts w:ascii="Arial"/>
          <w:sz w:val="14"/>
        </w:rPr>
        <w:t xml:space="preserve">and biomaterials </w:t>
      </w:r>
      <w:r w:rsidR="009E6C2A">
        <w:rPr>
          <w:rFonts w:ascii="Arial"/>
          <w:sz w:val="14"/>
        </w:rPr>
        <w:t xml:space="preserve">based on bacterial </w:t>
      </w:r>
      <w:proofErr w:type="spellStart"/>
      <w:r w:rsidR="009E6C2A">
        <w:rPr>
          <w:rFonts w:ascii="Arial"/>
          <w:sz w:val="14"/>
        </w:rPr>
        <w:t>nanocellulose</w:t>
      </w:r>
      <w:proofErr w:type="spellEnd"/>
      <w:r w:rsidR="009E6C2A">
        <w:rPr>
          <w:rFonts w:ascii="Arial"/>
          <w:sz w:val="14"/>
        </w:rPr>
        <w:t xml:space="preserve"> in the biomedical field. Her interest is on the future applications of nanomaterials in tissue regeneration applying a multidisciplinary focus between engineering and nursing.</w:t>
      </w:r>
    </w:p>
    <w:p w14:paraId="09BCBFE7" w14:textId="77777777" w:rsidR="00AE3E37" w:rsidRPr="009E6C2A" w:rsidRDefault="00A9710C">
      <w:pPr>
        <w:spacing w:before="62"/>
        <w:ind w:left="4217" w:right="4235"/>
        <w:jc w:val="center"/>
        <w:rPr>
          <w:rStyle w:val="Hipervnculo"/>
          <w:rFonts w:ascii="Arial"/>
          <w:sz w:val="14"/>
          <w:lang w:val="en-GB"/>
        </w:rPr>
      </w:pPr>
      <w:r>
        <w:rPr>
          <w:rFonts w:ascii="Arial"/>
          <w:sz w:val="14"/>
        </w:rPr>
        <w:t xml:space="preserve">Email: </w:t>
      </w:r>
      <w:r w:rsidR="009E6C2A">
        <w:rPr>
          <w:rFonts w:ascii="Arial"/>
          <w:sz w:val="14"/>
        </w:rPr>
        <w:t>estefania.martinezc@upb.edu.co</w:t>
      </w:r>
    </w:p>
    <w:p w14:paraId="291AB645" w14:textId="77777777" w:rsidR="008B39F4" w:rsidRDefault="008B39F4">
      <w:pPr>
        <w:spacing w:before="62"/>
        <w:ind w:left="4217" w:right="4235"/>
        <w:jc w:val="center"/>
        <w:rPr>
          <w:sz w:val="16"/>
        </w:rPr>
      </w:pPr>
      <w:r w:rsidRPr="008B39F4">
        <w:rPr>
          <w:sz w:val="16"/>
        </w:rPr>
        <w:t>Contact no</w:t>
      </w:r>
      <w:r>
        <w:rPr>
          <w:sz w:val="16"/>
        </w:rPr>
        <w:t xml:space="preserve">: </w:t>
      </w:r>
      <w:r w:rsidR="00050F7C">
        <w:rPr>
          <w:sz w:val="16"/>
        </w:rPr>
        <w:t>+573052902557</w:t>
      </w:r>
    </w:p>
    <w:p w14:paraId="00CF3522" w14:textId="77777777" w:rsidR="008B39F4" w:rsidRDefault="008B39F4">
      <w:pPr>
        <w:spacing w:before="62"/>
        <w:ind w:left="4217" w:right="4235"/>
        <w:jc w:val="center"/>
        <w:rPr>
          <w:sz w:val="16"/>
        </w:rPr>
      </w:pPr>
      <w:r>
        <w:rPr>
          <w:sz w:val="16"/>
        </w:rPr>
        <w:t>Track name:</w:t>
      </w:r>
    </w:p>
    <w:p w14:paraId="28361871" w14:textId="7A872C57" w:rsidR="009E6C2A" w:rsidRPr="008B39F4" w:rsidRDefault="005E57AE">
      <w:pPr>
        <w:spacing w:before="62"/>
        <w:ind w:left="4217" w:right="4235"/>
        <w:jc w:val="center"/>
        <w:rPr>
          <w:rFonts w:ascii="Arial"/>
          <w:sz w:val="8"/>
        </w:rPr>
      </w:pPr>
      <w:r>
        <w:rPr>
          <w:sz w:val="16"/>
        </w:rPr>
        <w:t>Bio-nanomaterials and biomedical devices, applications</w:t>
      </w:r>
      <w:bookmarkStart w:id="0" w:name="_GoBack"/>
      <w:bookmarkEnd w:id="0"/>
    </w:p>
    <w:p w14:paraId="3E547EA5" w14:textId="77777777" w:rsidR="00AE3E37" w:rsidRDefault="00292ED9">
      <w:pPr>
        <w:pStyle w:val="Textoindependiente"/>
        <w:spacing w:before="2"/>
        <w:rPr>
          <w:rFonts w:ascii="Arial"/>
          <w:sz w:val="19"/>
        </w:rPr>
      </w:pPr>
      <w:r>
        <w:rPr>
          <w:noProof/>
          <w:lang w:val="es-ES_tradnl" w:eastAsia="es-ES_tradnl"/>
        </w:rPr>
        <mc:AlternateContent>
          <mc:Choice Requires="wps">
            <w:drawing>
              <wp:anchor distT="0" distB="0" distL="0" distR="0" simplePos="0" relativeHeight="1072" behindDoc="0" locked="0" layoutInCell="1" allowOverlap="1" wp14:anchorId="6A0824B2" wp14:editId="5574B04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2EDD6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" strokecolor="#004080" strokeweight=".5pt">
                <w10:wrap type="topAndBottom" anchorx="page"/>
              </v:line>
            </w:pict>
          </mc:Fallback>
        </mc:AlternateContent>
      </w:r>
    </w:p>
    <w:p w14:paraId="4A8B4BE2" w14:textId="77777777" w:rsidR="00AE3E37" w:rsidRDefault="00AE3E37">
      <w:pPr>
        <w:pStyle w:val="Textoindependiente"/>
        <w:rPr>
          <w:rFonts w:ascii="Arial"/>
          <w:sz w:val="20"/>
        </w:rPr>
      </w:pPr>
    </w:p>
    <w:p w14:paraId="5CEAE747"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AB78841" w14:textId="77777777"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6E6BF2" w14:textId="77777777" w:rsidR="0009046B" w:rsidRDefault="0009046B">
      <w:r>
        <w:separator/>
      </w:r>
    </w:p>
  </w:endnote>
  <w:endnote w:type="continuationSeparator" w:id="0">
    <w:p w14:paraId="24CFEE84" w14:textId="77777777" w:rsidR="0009046B" w:rsidRDefault="00090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47ECA1" w14:textId="77777777" w:rsidR="00AE3E37" w:rsidRDefault="00292ED9">
    <w:pPr>
      <w:pStyle w:val="Textoindependiente"/>
      <w:spacing w:line="14" w:lineRule="auto"/>
      <w:rPr>
        <w:sz w:val="20"/>
      </w:rPr>
    </w:pPr>
    <w:r>
      <w:rPr>
        <w:noProof/>
        <w:lang w:val="es-ES_tradnl" w:eastAsia="es-ES_tradnl"/>
      </w:rPr>
      <mc:AlternateContent>
        <mc:Choice Requires="wps">
          <w:drawing>
            <wp:anchor distT="0" distB="0" distL="114300" distR="114300" simplePos="0" relativeHeight="503311928" behindDoc="1" locked="0" layoutInCell="1" allowOverlap="1" wp14:anchorId="7ACA1B63" wp14:editId="3689ABD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C4CD4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4033BC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5D1BC1" id="_x0000_t202" coordsize="21600,21600" o:spt="202" path="m0,0l0,21600,21600,21600,2160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ES_tradnl" w:eastAsia="es-ES_tradnl"/>
      </w:rPr>
      <mc:AlternateContent>
        <mc:Choice Requires="wps">
          <w:drawing>
            <wp:anchor distT="0" distB="0" distL="114300" distR="114300" simplePos="0" relativeHeight="503311952" behindDoc="1" locked="0" layoutInCell="1" allowOverlap="1" wp14:anchorId="5A9208C8" wp14:editId="2F67CAE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EC10A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F46ACF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3A9F97"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ES_tradnl" w:eastAsia="es-ES_tradnl"/>
      </w:rPr>
      <mc:AlternateContent>
        <mc:Choice Requires="wps">
          <w:drawing>
            <wp:anchor distT="0" distB="0" distL="114300" distR="114300" simplePos="0" relativeHeight="503311976" behindDoc="1" locked="0" layoutInCell="1" allowOverlap="1" wp14:anchorId="3BDFEF7D" wp14:editId="18F353A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A347B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701FFC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210EE9"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B9F45C" w14:textId="77777777" w:rsidR="0009046B" w:rsidRDefault="0009046B">
      <w:r>
        <w:separator/>
      </w:r>
    </w:p>
  </w:footnote>
  <w:footnote w:type="continuationSeparator" w:id="0">
    <w:p w14:paraId="0DBCD058" w14:textId="77777777" w:rsidR="0009046B" w:rsidRDefault="0009046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208397" w14:textId="77777777" w:rsidR="00AE3E37" w:rsidRDefault="00292ED9">
    <w:pPr>
      <w:pStyle w:val="Textoindependiente"/>
      <w:spacing w:line="14" w:lineRule="auto"/>
      <w:rPr>
        <w:sz w:val="20"/>
      </w:rPr>
    </w:pPr>
    <w:r>
      <w:rPr>
        <w:noProof/>
        <w:lang w:val="es-ES_tradnl" w:eastAsia="es-ES_tradnl"/>
      </w:rPr>
      <mc:AlternateContent>
        <mc:Choice Requires="wps">
          <w:drawing>
            <wp:anchor distT="0" distB="0" distL="114300" distR="114300" simplePos="0" relativeHeight="503311880" behindDoc="1" locked="0" layoutInCell="1" allowOverlap="1" wp14:anchorId="4EEDF554" wp14:editId="19E971B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41CC1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B2B6C3" id="_x0000_t202" coordsize="21600,21600" o:spt="202" path="m0,0l0,21600,21600,21600,2160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ES_tradnl" w:eastAsia="es-ES_tradnl"/>
      </w:rPr>
      <mc:AlternateContent>
        <mc:Choice Requires="wps">
          <w:drawing>
            <wp:anchor distT="0" distB="0" distL="114300" distR="114300" simplePos="0" relativeHeight="503311904" behindDoc="1" locked="0" layoutInCell="1" allowOverlap="1" wp14:anchorId="2BBCE116" wp14:editId="0813CDC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D0E42A"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BCDE56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9C56F4"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32"/>
  <w:doNotDisplayPageBoundaries/>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2172"/>
    <w:rsid w:val="000176D2"/>
    <w:rsid w:val="00023364"/>
    <w:rsid w:val="00050F7C"/>
    <w:rsid w:val="00055E39"/>
    <w:rsid w:val="00066FBF"/>
    <w:rsid w:val="000700DA"/>
    <w:rsid w:val="0009046B"/>
    <w:rsid w:val="000969BD"/>
    <w:rsid w:val="000E2338"/>
    <w:rsid w:val="000E2911"/>
    <w:rsid w:val="001263DF"/>
    <w:rsid w:val="00126BBB"/>
    <w:rsid w:val="00154BFE"/>
    <w:rsid w:val="001712BD"/>
    <w:rsid w:val="001A23A2"/>
    <w:rsid w:val="001A2C01"/>
    <w:rsid w:val="001A5293"/>
    <w:rsid w:val="001F1C63"/>
    <w:rsid w:val="00211B38"/>
    <w:rsid w:val="00237368"/>
    <w:rsid w:val="00260899"/>
    <w:rsid w:val="00267569"/>
    <w:rsid w:val="00283505"/>
    <w:rsid w:val="00292ED9"/>
    <w:rsid w:val="002A3AC1"/>
    <w:rsid w:val="003509A1"/>
    <w:rsid w:val="00382843"/>
    <w:rsid w:val="003C0D6D"/>
    <w:rsid w:val="003D1116"/>
    <w:rsid w:val="003E6CDC"/>
    <w:rsid w:val="003F396A"/>
    <w:rsid w:val="00404E5B"/>
    <w:rsid w:val="00405215"/>
    <w:rsid w:val="00411CDA"/>
    <w:rsid w:val="00414F7B"/>
    <w:rsid w:val="004355DC"/>
    <w:rsid w:val="004479B3"/>
    <w:rsid w:val="00454574"/>
    <w:rsid w:val="00457FF8"/>
    <w:rsid w:val="004749B4"/>
    <w:rsid w:val="0047508E"/>
    <w:rsid w:val="00494130"/>
    <w:rsid w:val="004F3523"/>
    <w:rsid w:val="004F552D"/>
    <w:rsid w:val="00513EAF"/>
    <w:rsid w:val="00550C81"/>
    <w:rsid w:val="005672F8"/>
    <w:rsid w:val="005973B9"/>
    <w:rsid w:val="005A3063"/>
    <w:rsid w:val="005B3A56"/>
    <w:rsid w:val="005C4CE7"/>
    <w:rsid w:val="005E57AE"/>
    <w:rsid w:val="006060CE"/>
    <w:rsid w:val="00611626"/>
    <w:rsid w:val="00611FF3"/>
    <w:rsid w:val="0062423B"/>
    <w:rsid w:val="0063497F"/>
    <w:rsid w:val="00671199"/>
    <w:rsid w:val="006933CA"/>
    <w:rsid w:val="006A65D6"/>
    <w:rsid w:val="00721A6C"/>
    <w:rsid w:val="007756BA"/>
    <w:rsid w:val="0078122A"/>
    <w:rsid w:val="0079273B"/>
    <w:rsid w:val="007C6A5B"/>
    <w:rsid w:val="007E03B8"/>
    <w:rsid w:val="007E5510"/>
    <w:rsid w:val="008228B2"/>
    <w:rsid w:val="00853D88"/>
    <w:rsid w:val="00862BD8"/>
    <w:rsid w:val="00872033"/>
    <w:rsid w:val="00873DF0"/>
    <w:rsid w:val="008756E6"/>
    <w:rsid w:val="008B39F4"/>
    <w:rsid w:val="008B3D87"/>
    <w:rsid w:val="008D7AD1"/>
    <w:rsid w:val="009338E9"/>
    <w:rsid w:val="00980C29"/>
    <w:rsid w:val="009B2D44"/>
    <w:rsid w:val="009E6C2A"/>
    <w:rsid w:val="00A07E82"/>
    <w:rsid w:val="00A25D99"/>
    <w:rsid w:val="00A468B4"/>
    <w:rsid w:val="00A9710C"/>
    <w:rsid w:val="00A97897"/>
    <w:rsid w:val="00AA32E2"/>
    <w:rsid w:val="00AC49FA"/>
    <w:rsid w:val="00AE3E37"/>
    <w:rsid w:val="00B21A57"/>
    <w:rsid w:val="00B35B29"/>
    <w:rsid w:val="00B8639A"/>
    <w:rsid w:val="00BB0511"/>
    <w:rsid w:val="00C042D2"/>
    <w:rsid w:val="00C121E2"/>
    <w:rsid w:val="00C33602"/>
    <w:rsid w:val="00C5493A"/>
    <w:rsid w:val="00C9149C"/>
    <w:rsid w:val="00CD6F55"/>
    <w:rsid w:val="00D034D5"/>
    <w:rsid w:val="00D03A90"/>
    <w:rsid w:val="00D15D87"/>
    <w:rsid w:val="00D3398B"/>
    <w:rsid w:val="00D35A1B"/>
    <w:rsid w:val="00D6262F"/>
    <w:rsid w:val="00D93AD5"/>
    <w:rsid w:val="00DE3104"/>
    <w:rsid w:val="00E339C0"/>
    <w:rsid w:val="00E663E5"/>
    <w:rsid w:val="00E84287"/>
    <w:rsid w:val="00E846F7"/>
    <w:rsid w:val="00E84E75"/>
    <w:rsid w:val="00EC391A"/>
    <w:rsid w:val="00EC4FBB"/>
    <w:rsid w:val="00ED7B42"/>
    <w:rsid w:val="00F14CEA"/>
    <w:rsid w:val="00F437D8"/>
    <w:rsid w:val="00F72EEA"/>
    <w:rsid w:val="00F84CAE"/>
    <w:rsid w:val="00F85647"/>
    <w:rsid w:val="00FB50B9"/>
    <w:rsid w:val="00FD4931"/>
  </w:rsids>
  <m:mathPr>
    <m:mathFont m:val="Cambria Math"/>
    <m:brkBin m:val="before"/>
    <m:brkBinSub m:val="--"/>
    <m:smallFrac/>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33A84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link w:val="Ttulo3Car"/>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customStyle="1" w:styleId="Ttulo3Car">
    <w:name w:val="Título 3 Car"/>
    <w:basedOn w:val="Fuentedeprrafopredeter"/>
    <w:link w:val="Ttulo3"/>
    <w:uiPriority w:val="1"/>
    <w:rsid w:val="00E339C0"/>
    <w:rPr>
      <w:rFonts w:ascii="Arial" w:eastAsia="Arial" w:hAnsi="Arial" w:cs="Arial"/>
      <w:b/>
      <w:bCs/>
      <w:sz w:val="20"/>
      <w:szCs w:val="20"/>
    </w:rPr>
  </w:style>
  <w:style w:type="character" w:styleId="Refdecomentario">
    <w:name w:val="annotation reference"/>
    <w:basedOn w:val="Fuentedeprrafopredeter"/>
    <w:uiPriority w:val="99"/>
    <w:semiHidden/>
    <w:unhideWhenUsed/>
    <w:rsid w:val="00457FF8"/>
    <w:rPr>
      <w:sz w:val="16"/>
      <w:szCs w:val="16"/>
    </w:rPr>
  </w:style>
  <w:style w:type="paragraph" w:styleId="Textocomentario">
    <w:name w:val="annotation text"/>
    <w:basedOn w:val="Normal"/>
    <w:link w:val="TextocomentarioCar"/>
    <w:uiPriority w:val="99"/>
    <w:semiHidden/>
    <w:unhideWhenUsed/>
    <w:rsid w:val="00457FF8"/>
    <w:rPr>
      <w:sz w:val="20"/>
      <w:szCs w:val="20"/>
    </w:rPr>
  </w:style>
  <w:style w:type="character" w:customStyle="1" w:styleId="TextocomentarioCar">
    <w:name w:val="Texto comentario Car"/>
    <w:basedOn w:val="Fuentedeprrafopredeter"/>
    <w:link w:val="Textocomentario"/>
    <w:uiPriority w:val="99"/>
    <w:semiHidden/>
    <w:rsid w:val="00457FF8"/>
    <w:rPr>
      <w:rFonts w:ascii="Tw Cen MT" w:eastAsia="Tw Cen MT" w:hAnsi="Tw Cen MT" w:cs="Tw Cen MT"/>
      <w:sz w:val="20"/>
      <w:szCs w:val="20"/>
    </w:rPr>
  </w:style>
  <w:style w:type="paragraph" w:styleId="Asuntodelcomentario">
    <w:name w:val="annotation subject"/>
    <w:basedOn w:val="Textocomentario"/>
    <w:next w:val="Textocomentario"/>
    <w:link w:val="AsuntodelcomentarioCar"/>
    <w:uiPriority w:val="99"/>
    <w:semiHidden/>
    <w:unhideWhenUsed/>
    <w:rsid w:val="00457FF8"/>
    <w:rPr>
      <w:b/>
      <w:bCs/>
    </w:rPr>
  </w:style>
  <w:style w:type="character" w:customStyle="1" w:styleId="AsuntodelcomentarioCar">
    <w:name w:val="Asunto del comentario Car"/>
    <w:basedOn w:val="TextocomentarioCar"/>
    <w:link w:val="Asuntodelcomentario"/>
    <w:uiPriority w:val="99"/>
    <w:semiHidden/>
    <w:rsid w:val="00457FF8"/>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image" Target="media/image2.emf"/><Relationship Id="rId14" Type="http://schemas.openxmlformats.org/officeDocument/2006/relationships/image" Target="media/image3.png"/><Relationship Id="rId15" Type="http://schemas.microsoft.com/office/2007/relationships/hdphoto" Target="media/hdphoto1.wdp"/><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10" Type="http://schemas.openxmlformats.org/officeDocument/2006/relationships/image" Target="media/image10.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9094F0E-18EF-9445-A9F6-492611FFF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2636</Words>
  <Characters>14498</Characters>
  <Application>Microsoft Macintosh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17100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Estefania Martinez Correa</cp:lastModifiedBy>
  <cp:revision>4</cp:revision>
  <dcterms:created xsi:type="dcterms:W3CDTF">2017-07-31T01:59:00Z</dcterms:created>
  <dcterms:modified xsi:type="dcterms:W3CDTF">2017-07-31T02:32:00Z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http://www.zotero.org/styles/ieee</vt:lpwstr>
  </property>
  <property fmtid="{D5CDD505-2E9C-101B-9397-08002B2CF9AE}" pid="12" name="Mendeley Recent Style Name 3_1">
    <vt:lpwstr>IEEE</vt:lpwstr>
  </property>
  <property fmtid="{D5CDD505-2E9C-101B-9397-08002B2CF9AE}" pid="13" name="Mendeley Recent Style Id 4_1">
    <vt:lpwstr>http://www.zotero.org/styles/sage-vancouver-brackets</vt:lpwstr>
  </property>
  <property fmtid="{D5CDD505-2E9C-101B-9397-08002B2CF9AE}" pid="14" name="Mendeley Recent Style Name 4_1">
    <vt:lpwstr>SAGE Vancouver (brackets)</vt:lpwstr>
  </property>
  <property fmtid="{D5CDD505-2E9C-101B-9397-08002B2CF9AE}" pid="15" name="Mendeley Recent Style Id 5_1">
    <vt:lpwstr>http://csl.mendeley.com/styles/18797941/sage-vancouver-brackets</vt:lpwstr>
  </property>
  <property fmtid="{D5CDD505-2E9C-101B-9397-08002B2CF9AE}" pid="16" name="Mendeley Recent Style Name 5_1">
    <vt:lpwstr>SAGE Vancouver (brackets) - MARLON ANDRES OSORIO</vt:lpwstr>
  </property>
  <property fmtid="{D5CDD505-2E9C-101B-9397-08002B2CF9AE}" pid="17" name="Mendeley Recent Style Id 6_1">
    <vt:lpwstr>http://www.zotero.org/styles/springer-basic-author-date</vt:lpwstr>
  </property>
  <property fmtid="{D5CDD505-2E9C-101B-9397-08002B2CF9AE}" pid="18" name="Mendeley Recent Style Name 6_1">
    <vt:lpwstr>Springer Basic (author-date)</vt:lpwstr>
  </property>
  <property fmtid="{D5CDD505-2E9C-101B-9397-08002B2CF9AE}" pid="19" name="Mendeley Recent Style Id 7_1">
    <vt:lpwstr>http://www.zotero.org/styles/springer-mathphys-author-date</vt:lpwstr>
  </property>
  <property fmtid="{D5CDD505-2E9C-101B-9397-08002B2CF9AE}" pid="20" name="Mendeley Recent Style Name 7_1">
    <vt:lpwstr>Springer MathPhys (author-date)</vt:lpwstr>
  </property>
  <property fmtid="{D5CDD505-2E9C-101B-9397-08002B2CF9AE}" pid="21" name="Mendeley Recent Style Id 8_1">
    <vt:lpwstr>http://www.zotero.org/styles/vancouver</vt:lpwstr>
  </property>
  <property fmtid="{D5CDD505-2E9C-101B-9397-08002B2CF9AE}" pid="22" name="Mendeley Recent Style Name 8_1">
    <vt:lpwstr>Vancouver</vt:lpwstr>
  </property>
  <property fmtid="{D5CDD505-2E9C-101B-9397-08002B2CF9AE}" pid="23" name="Mendeley Recent Style Id 9_1">
    <vt:lpwstr>http://www.zotero.org/styles/vancouver-superscript</vt:lpwstr>
  </property>
  <property fmtid="{D5CDD505-2E9C-101B-9397-08002B2CF9AE}" pid="24" name="Mendeley Recent Style Name 9_1">
    <vt:lpwstr>Vancouver (superscript)</vt:lpwstr>
  </property>
  <property fmtid="{D5CDD505-2E9C-101B-9397-08002B2CF9AE}" pid="25" name="Mendeley Document_1">
    <vt:lpwstr>True</vt:lpwstr>
  </property>
  <property fmtid="{D5CDD505-2E9C-101B-9397-08002B2CF9AE}" pid="26" name="Mendeley Unique User Id_1">
    <vt:lpwstr>f93253e2-1371-301d-97d9-63079417e583</vt:lpwstr>
  </property>
  <property fmtid="{D5CDD505-2E9C-101B-9397-08002B2CF9AE}" pid="27" name="Mendeley Citation Style_1">
    <vt:lpwstr>http://csl.mendeley.com/styles/18797941/sage-vancouver-brackets</vt:lpwstr>
  </property>
</Properties>
</file>