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0715C" w:rsidP="00494130">
      <w:pPr>
        <w:pStyle w:val="berschrift1"/>
        <w:spacing w:before="170"/>
        <w:ind w:left="0"/>
      </w:pPr>
      <w:r w:rsidRPr="0040715C">
        <w:t xml:space="preserve"> </w:t>
      </w:r>
      <w:r w:rsidRPr="0040715C">
        <w:rPr>
          <w:noProof/>
          <w:color w:val="337AB7"/>
          <w:lang w:val="en-IN" w:eastAsia="en-IN"/>
        </w:rPr>
        <w:t>Antibacterial surface modification of Ti based material for implants</w:t>
      </w:r>
    </w:p>
    <w:p w:rsidR="005B779F" w:rsidRPr="0040715C" w:rsidRDefault="005B779F">
      <w:pPr>
        <w:pStyle w:val="Textkrper"/>
        <w:rPr>
          <w:rFonts w:ascii="Arial"/>
        </w:rPr>
      </w:pPr>
      <w:proofErr w:type="spellStart"/>
      <w:r w:rsidRPr="0040715C">
        <w:rPr>
          <w:rFonts w:ascii="Arial"/>
          <w:u w:val="single"/>
        </w:rPr>
        <w:t>Jie</w:t>
      </w:r>
      <w:proofErr w:type="spellEnd"/>
      <w:r w:rsidRPr="0040715C">
        <w:rPr>
          <w:rFonts w:ascii="Arial"/>
          <w:u w:val="single"/>
        </w:rPr>
        <w:t xml:space="preserve"> Sun, </w:t>
      </w:r>
      <w:proofErr w:type="spellStart"/>
      <w:r w:rsidR="0040715C" w:rsidRPr="0040715C">
        <w:rPr>
          <w:rFonts w:ascii="Arial"/>
          <w:u w:val="single"/>
        </w:rPr>
        <w:t>MSc</w:t>
      </w:r>
      <w:proofErr w:type="spellEnd"/>
      <w:r w:rsidR="004237EF" w:rsidRPr="004237EF">
        <w:rPr>
          <w:rFonts w:ascii="Arial"/>
          <w:vertAlign w:val="superscript"/>
          <w:lang w:val="en-GB"/>
        </w:rPr>
        <w:t>1</w:t>
      </w:r>
      <w:r w:rsidRPr="0040715C">
        <w:rPr>
          <w:rFonts w:ascii="Arial"/>
        </w:rPr>
        <w:t xml:space="preserve">; </w:t>
      </w:r>
      <w:proofErr w:type="spellStart"/>
      <w:r w:rsidRPr="0040715C">
        <w:rPr>
          <w:rFonts w:ascii="Arial"/>
        </w:rPr>
        <w:t>Tzvetanka</w:t>
      </w:r>
      <w:proofErr w:type="spellEnd"/>
      <w:r w:rsidRPr="0040715C">
        <w:rPr>
          <w:rFonts w:ascii="Arial"/>
        </w:rPr>
        <w:t xml:space="preserve"> </w:t>
      </w:r>
      <w:proofErr w:type="spellStart"/>
      <w:r w:rsidRPr="0040715C">
        <w:rPr>
          <w:rFonts w:ascii="Arial"/>
        </w:rPr>
        <w:t>Boiadjieva-Scherzer</w:t>
      </w:r>
      <w:proofErr w:type="spellEnd"/>
      <w:r w:rsidRPr="0040715C">
        <w:rPr>
          <w:rFonts w:ascii="Arial"/>
        </w:rPr>
        <w:t>, PhD.</w:t>
      </w:r>
      <w:r w:rsidR="004237EF" w:rsidRPr="004237EF">
        <w:rPr>
          <w:rFonts w:ascii="Arial"/>
          <w:vertAlign w:val="superscript"/>
          <w:lang w:val="en-GB"/>
        </w:rPr>
        <w:t xml:space="preserve"> 1</w:t>
      </w:r>
      <w:r w:rsidRPr="0040715C">
        <w:rPr>
          <w:rFonts w:ascii="Arial"/>
        </w:rPr>
        <w:t xml:space="preserve">; Hermann </w:t>
      </w:r>
      <w:proofErr w:type="spellStart"/>
      <w:r w:rsidRPr="0040715C">
        <w:rPr>
          <w:rFonts w:ascii="Arial"/>
        </w:rPr>
        <w:t>Kronberger</w:t>
      </w:r>
      <w:proofErr w:type="spellEnd"/>
      <w:r w:rsidRPr="0040715C">
        <w:rPr>
          <w:rFonts w:ascii="Arial"/>
        </w:rPr>
        <w:t>, Prof.</w:t>
      </w:r>
      <w:r w:rsidR="004237EF" w:rsidRPr="004237EF">
        <w:rPr>
          <w:rFonts w:ascii="Arial"/>
          <w:vertAlign w:val="superscript"/>
          <w:lang w:val="en-GB"/>
        </w:rPr>
        <w:t xml:space="preserve"> </w:t>
      </w:r>
      <w:r w:rsidR="009E1722">
        <w:rPr>
          <w:rFonts w:ascii="Arial"/>
          <w:vertAlign w:val="superscript"/>
          <w:lang w:val="en-GB"/>
        </w:rPr>
        <w:t>2</w:t>
      </w:r>
      <w:r w:rsidRPr="0040715C">
        <w:rPr>
          <w:rFonts w:ascii="Arial"/>
        </w:rPr>
        <w:t xml:space="preserve">; </w:t>
      </w:r>
      <w:proofErr w:type="spellStart"/>
      <w:r w:rsidRPr="0040715C">
        <w:rPr>
          <w:rFonts w:ascii="Arial"/>
        </w:rPr>
        <w:t>Ievgen</w:t>
      </w:r>
      <w:proofErr w:type="spellEnd"/>
      <w:r w:rsidRPr="0040715C">
        <w:rPr>
          <w:rFonts w:ascii="Arial"/>
        </w:rPr>
        <w:t xml:space="preserve"> </w:t>
      </w:r>
      <w:proofErr w:type="spellStart"/>
      <w:r w:rsidRPr="0040715C">
        <w:rPr>
          <w:rFonts w:ascii="Arial"/>
        </w:rPr>
        <w:t>Kolesnyk</w:t>
      </w:r>
      <w:proofErr w:type="spellEnd"/>
      <w:r w:rsidRPr="0040715C">
        <w:rPr>
          <w:rFonts w:ascii="Arial"/>
        </w:rPr>
        <w:t>, PhD</w:t>
      </w:r>
      <w:r w:rsidR="009842E4" w:rsidRPr="0040715C">
        <w:rPr>
          <w:rFonts w:ascii="Arial"/>
        </w:rPr>
        <w:t>;</w:t>
      </w:r>
      <w:r w:rsidR="009E1722" w:rsidRPr="009E1722">
        <w:rPr>
          <w:rFonts w:ascii="Arial"/>
          <w:vertAlign w:val="superscript"/>
        </w:rPr>
        <w:t>3</w:t>
      </w:r>
      <w:r w:rsidRPr="0040715C">
        <w:rPr>
          <w:rFonts w:ascii="Arial"/>
        </w:rPr>
        <w:t xml:space="preserve"> </w:t>
      </w:r>
    </w:p>
    <w:p w:rsidR="004237EF" w:rsidRDefault="005B779F">
      <w:pPr>
        <w:pStyle w:val="Textkrper"/>
        <w:rPr>
          <w:rFonts w:ascii="Arial"/>
          <w:vertAlign w:val="superscript"/>
          <w:lang w:val="de-AT"/>
        </w:rPr>
      </w:pPr>
      <w:r w:rsidRPr="0000179E">
        <w:rPr>
          <w:rFonts w:ascii="Arial"/>
          <w:lang w:val="de-AT"/>
        </w:rPr>
        <w:t>Kevin Staats</w:t>
      </w:r>
      <w:r w:rsidR="009842E4" w:rsidRPr="0000179E">
        <w:rPr>
          <w:rFonts w:ascii="Arial"/>
          <w:lang w:val="de-AT"/>
        </w:rPr>
        <w:t xml:space="preserve"> MD</w:t>
      </w:r>
      <w:r w:rsidR="009E1722">
        <w:rPr>
          <w:rFonts w:ascii="Arial"/>
          <w:vertAlign w:val="superscript"/>
          <w:lang w:val="de-AT"/>
        </w:rPr>
        <w:t>4</w:t>
      </w:r>
      <w:r w:rsidR="009842E4" w:rsidRPr="0000179E">
        <w:rPr>
          <w:rFonts w:ascii="Arial"/>
          <w:lang w:val="de-AT"/>
        </w:rPr>
        <w:t>;</w:t>
      </w:r>
      <w:r w:rsidRPr="0000179E">
        <w:rPr>
          <w:rFonts w:ascii="Arial"/>
          <w:lang w:val="de-AT"/>
        </w:rPr>
        <w:t xml:space="preserve"> Johannes Holinka, </w:t>
      </w:r>
      <w:r w:rsidR="009842E4" w:rsidRPr="0000179E">
        <w:rPr>
          <w:rFonts w:ascii="Arial"/>
          <w:lang w:val="de-AT"/>
        </w:rPr>
        <w:t xml:space="preserve">MD </w:t>
      </w:r>
      <w:r w:rsidR="002C4EA1">
        <w:rPr>
          <w:rFonts w:ascii="Arial"/>
          <w:lang w:val="de-AT"/>
        </w:rPr>
        <w:t>Prof.</w:t>
      </w:r>
      <w:r w:rsidR="004237EF" w:rsidRPr="004237EF">
        <w:rPr>
          <w:rFonts w:ascii="Arial"/>
          <w:vertAlign w:val="superscript"/>
          <w:lang w:val="de-AT"/>
        </w:rPr>
        <w:t xml:space="preserve"> </w:t>
      </w:r>
      <w:r w:rsidR="009E1722">
        <w:rPr>
          <w:rFonts w:ascii="Arial"/>
          <w:vertAlign w:val="superscript"/>
          <w:lang w:val="de-AT"/>
        </w:rPr>
        <w:t>4</w:t>
      </w:r>
      <w:r w:rsidR="002C4EA1">
        <w:rPr>
          <w:rFonts w:ascii="Arial"/>
          <w:lang w:val="de-AT"/>
        </w:rPr>
        <w:t xml:space="preserve">; </w:t>
      </w:r>
      <w:r w:rsidRPr="0000179E">
        <w:rPr>
          <w:rFonts w:ascii="Arial"/>
          <w:lang w:val="de-AT"/>
        </w:rPr>
        <w:t>Reinhard Windhager</w:t>
      </w:r>
      <w:r w:rsidR="004237EF">
        <w:rPr>
          <w:rFonts w:ascii="Arial"/>
          <w:lang w:val="de-AT"/>
        </w:rPr>
        <w:t>, MD Prof.</w:t>
      </w:r>
      <w:r w:rsidR="009E1722">
        <w:rPr>
          <w:rFonts w:ascii="Arial"/>
          <w:vertAlign w:val="superscript"/>
          <w:lang w:val="de-AT"/>
        </w:rPr>
        <w:t>4</w:t>
      </w:r>
    </w:p>
    <w:p w:rsidR="009E1722" w:rsidRDefault="009E1722">
      <w:pPr>
        <w:pStyle w:val="Textkrper"/>
        <w:rPr>
          <w:rFonts w:ascii="Arial"/>
          <w:vertAlign w:val="superscript"/>
          <w:lang w:val="de-AT"/>
        </w:rPr>
      </w:pPr>
    </w:p>
    <w:p w:rsidR="002C4EA1" w:rsidRPr="009E1722" w:rsidRDefault="009E1722">
      <w:pPr>
        <w:pStyle w:val="Textkrper"/>
        <w:rPr>
          <w:rFonts w:ascii="Arial"/>
          <w:sz w:val="14"/>
          <w:lang w:val="en-GB"/>
        </w:rPr>
      </w:pPr>
      <w:r w:rsidRPr="004237EF">
        <w:rPr>
          <w:rFonts w:ascii="Arial"/>
          <w:sz w:val="14"/>
          <w:vertAlign w:val="superscript"/>
          <w:lang w:val="en-GB"/>
        </w:rPr>
        <w:t>1</w:t>
      </w:r>
      <w:r>
        <w:rPr>
          <w:rFonts w:ascii="Arial"/>
          <w:sz w:val="14"/>
          <w:lang w:val="en-GB"/>
        </w:rPr>
        <w:t xml:space="preserve"> </w:t>
      </w:r>
      <w:r w:rsidRPr="00225BA1">
        <w:rPr>
          <w:rFonts w:ascii="Arial" w:hAnsi="Arial" w:cs="Arial"/>
          <w:sz w:val="14"/>
          <w:szCs w:val="14"/>
          <w:lang w:val="en-GB"/>
        </w:rPr>
        <w:t xml:space="preserve">Centre of </w:t>
      </w:r>
      <w:r w:rsidRPr="00225BA1">
        <w:rPr>
          <w:rFonts w:ascii="Arial" w:hAnsi="Arial" w:cs="Arial"/>
          <w:sz w:val="14"/>
          <w:szCs w:val="14"/>
        </w:rPr>
        <w:t>Electrochemical Surface Technology GmbH (CEST)</w:t>
      </w:r>
      <w:r w:rsidR="00D42ED4" w:rsidRPr="00D42ED4">
        <w:rPr>
          <w:noProof/>
          <w:color w:val="337AB7"/>
          <w:lang w:val="en-IN" w:eastAsia="en-IN"/>
        </w:rPr>
        <w:pict>
          <v:roundrect id="Rounded Rectangle 2" o:spid="_x0000_s1026" style="position:absolute;margin-left:402.75pt;margin-top:4.35pt;width:121.55pt;height:51.45pt;z-index:251659264;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0Y2AIAAMI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" strokecolor="#9bbb59" strokeweight="2.5pt">
            <v:shadow color="#868686"/>
            <v:textbox style="mso-next-textbox:#Rounded Rectangle 2">
              <w:txbxContent>
                <w:p w:rsidR="008B39F4" w:rsidRDefault="00955E40" w:rsidP="00F55401">
                  <w:pPr>
                    <w:jc w:val="center"/>
                    <w:rPr>
                      <w:lang w:val="en-IN"/>
                    </w:rPr>
                  </w:pPr>
                  <w:r>
                    <w:rPr>
                      <w:noProof/>
                      <w:lang w:val="de-AT" w:eastAsia="de-AT"/>
                    </w:rPr>
                    <w:drawing>
                      <wp:inline distT="0" distB="0" distL="0" distR="0">
                        <wp:extent cx="639651" cy="277721"/>
                        <wp:effectExtent l="19050" t="0" r="8049" b="0"/>
                        <wp:docPr id="1" name="Bild 2" descr="C:\Dokumente und Einstellungen\Viktoria\Eigene Dateien\Downloads\Logos_CEST\CEST_engl_Centre of electrochemical surface Technolog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kumente und Einstellungen\Viktoria\Eigene Dateien\Downloads\Logos_CEST\CEST_engl_Centre of electrochemical surface Technology.tif"/>
                                <pic:cNvPicPr>
                                  <a:picLocks noChangeAspect="1" noChangeArrowheads="1"/>
                                </pic:cNvPicPr>
                              </pic:nvPicPr>
                              <pic:blipFill>
                                <a:blip r:embed="rId7"/>
                                <a:srcRect/>
                                <a:stretch>
                                  <a:fillRect/>
                                </a:stretch>
                              </pic:blipFill>
                              <pic:spPr bwMode="auto">
                                <a:xfrm>
                                  <a:off x="0" y="0"/>
                                  <a:ext cx="642673" cy="279033"/>
                                </a:xfrm>
                                <a:prstGeom prst="rect">
                                  <a:avLst/>
                                </a:prstGeom>
                                <a:noFill/>
                                <a:ln w="9525">
                                  <a:noFill/>
                                  <a:miter lim="800000"/>
                                  <a:headEnd/>
                                  <a:tailEnd/>
                                </a:ln>
                              </pic:spPr>
                            </pic:pic>
                          </a:graphicData>
                        </a:graphic>
                      </wp:inline>
                    </w:drawing>
                  </w:r>
                  <w:r w:rsidR="00793CDE">
                    <w:rPr>
                      <w:noProof/>
                      <w:lang w:val="de-AT" w:eastAsia="de-AT"/>
                    </w:rPr>
                    <w:drawing>
                      <wp:inline distT="0" distB="0" distL="0" distR="0">
                        <wp:extent cx="549729" cy="241512"/>
                        <wp:effectExtent l="19050" t="0" r="2721" b="0"/>
                        <wp:docPr id="12" name="Bild 10" descr="C:\Dokumente und Einstellungen\Viktoria\Desktop\TU_Logo_Austria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kumente und Einstellungen\Viktoria\Desktop\TU_Logo_Austria_CMYK.jpg"/>
                                <pic:cNvPicPr>
                                  <a:picLocks noChangeAspect="1" noChangeArrowheads="1"/>
                                </pic:cNvPicPr>
                              </pic:nvPicPr>
                              <pic:blipFill>
                                <a:blip r:embed="rId8"/>
                                <a:srcRect/>
                                <a:stretch>
                                  <a:fillRect/>
                                </a:stretch>
                              </pic:blipFill>
                              <pic:spPr bwMode="auto">
                                <a:xfrm>
                                  <a:off x="0" y="0"/>
                                  <a:ext cx="556815" cy="244625"/>
                                </a:xfrm>
                                <a:prstGeom prst="rect">
                                  <a:avLst/>
                                </a:prstGeom>
                                <a:noFill/>
                                <a:ln w="9525">
                                  <a:noFill/>
                                  <a:miter lim="800000"/>
                                  <a:headEnd/>
                                  <a:tailEnd/>
                                </a:ln>
                              </pic:spPr>
                            </pic:pic>
                          </a:graphicData>
                        </a:graphic>
                      </wp:inline>
                    </w:drawing>
                  </w:r>
                </w:p>
                <w:p w:rsidR="008B39F4" w:rsidRPr="00B03DB8" w:rsidRDefault="0000179E" w:rsidP="00F55401">
                  <w:pPr>
                    <w:jc w:val="center"/>
                    <w:rPr>
                      <w:b/>
                      <w:color w:val="0000FF"/>
                      <w:lang w:val="en-IN"/>
                    </w:rPr>
                  </w:pPr>
                  <w:r>
                    <w:rPr>
                      <w:rFonts w:ascii="Arial"/>
                      <w:b/>
                      <w:noProof/>
                      <w:color w:val="BF5A14"/>
                      <w:sz w:val="20"/>
                      <w:lang w:val="de-AT" w:eastAsia="de-AT"/>
                    </w:rPr>
                    <w:drawing>
                      <wp:inline distT="0" distB="0" distL="0" distR="0">
                        <wp:extent cx="982435" cy="207359"/>
                        <wp:effectExtent l="19050" t="0" r="8165" b="0"/>
                        <wp:docPr id="49" name="Bild 9" descr="C:\Dokumente und Einstellungen\Viktoria\Eigene Dateien\Downloads\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kumente und Einstellungen\Viktoria\Eigene Dateien\Downloads\index.png"/>
                                <pic:cNvPicPr>
                                  <a:picLocks noChangeAspect="1" noChangeArrowheads="1"/>
                                </pic:cNvPicPr>
                              </pic:nvPicPr>
                              <pic:blipFill>
                                <a:blip r:embed="rId9"/>
                                <a:srcRect/>
                                <a:stretch>
                                  <a:fillRect/>
                                </a:stretch>
                              </pic:blipFill>
                              <pic:spPr bwMode="auto">
                                <a:xfrm>
                                  <a:off x="0" y="0"/>
                                  <a:ext cx="983800" cy="207647"/>
                                </a:xfrm>
                                <a:prstGeom prst="rect">
                                  <a:avLst/>
                                </a:prstGeom>
                                <a:noFill/>
                                <a:ln w="9525">
                                  <a:noFill/>
                                  <a:miter lim="800000"/>
                                  <a:headEnd/>
                                  <a:tailEnd/>
                                </a:ln>
                              </pic:spPr>
                            </pic:pic>
                          </a:graphicData>
                        </a:graphic>
                      </wp:inline>
                    </w:drawing>
                  </w:r>
                </w:p>
              </w:txbxContent>
            </v:textbox>
          </v:roundrect>
        </w:pict>
      </w:r>
    </w:p>
    <w:p w:rsidR="002C4EA1" w:rsidRDefault="009E1722">
      <w:pPr>
        <w:pStyle w:val="Textkrper"/>
        <w:rPr>
          <w:rFonts w:ascii="Arial"/>
          <w:sz w:val="14"/>
        </w:rPr>
      </w:pPr>
      <w:r>
        <w:rPr>
          <w:rFonts w:ascii="Arial"/>
          <w:sz w:val="14"/>
          <w:vertAlign w:val="superscript"/>
          <w:lang w:val="en-GB"/>
        </w:rPr>
        <w:t>2</w:t>
      </w:r>
      <w:r w:rsidR="004237EF">
        <w:rPr>
          <w:rFonts w:ascii="Arial"/>
          <w:sz w:val="14"/>
          <w:lang w:val="en-GB"/>
        </w:rPr>
        <w:t xml:space="preserve"> </w:t>
      </w:r>
      <w:r w:rsidR="002C4EA1" w:rsidRPr="004237EF">
        <w:rPr>
          <w:rFonts w:ascii="Arial"/>
          <w:sz w:val="14"/>
          <w:lang w:val="en-GB"/>
        </w:rPr>
        <w:t xml:space="preserve">Technical </w:t>
      </w:r>
      <w:proofErr w:type="gramStart"/>
      <w:r w:rsidR="004237EF">
        <w:rPr>
          <w:rFonts w:ascii="Arial"/>
          <w:sz w:val="14"/>
          <w:lang w:val="en-GB"/>
        </w:rPr>
        <w:t>U</w:t>
      </w:r>
      <w:r w:rsidR="002C4EA1" w:rsidRPr="004237EF">
        <w:rPr>
          <w:rFonts w:ascii="Arial"/>
          <w:sz w:val="14"/>
          <w:lang w:val="en-GB"/>
        </w:rPr>
        <w:t>niversity</w:t>
      </w:r>
      <w:proofErr w:type="gramEnd"/>
      <w:r w:rsidR="002C4EA1" w:rsidRPr="004237EF">
        <w:rPr>
          <w:rFonts w:ascii="Arial"/>
          <w:sz w:val="14"/>
          <w:lang w:val="en-GB"/>
        </w:rPr>
        <w:t xml:space="preserve"> of Vienna</w:t>
      </w:r>
      <w:r w:rsidR="004237EF" w:rsidRPr="004237EF">
        <w:rPr>
          <w:rFonts w:ascii="Arial"/>
          <w:sz w:val="14"/>
          <w:lang w:val="en-GB"/>
        </w:rPr>
        <w:t xml:space="preserve">, </w:t>
      </w:r>
      <w:r w:rsidR="004237EF">
        <w:rPr>
          <w:rFonts w:ascii="Arial"/>
          <w:sz w:val="14"/>
        </w:rPr>
        <w:t xml:space="preserve">Institute of </w:t>
      </w:r>
      <w:r w:rsidR="004237EF" w:rsidRPr="00354AC6">
        <w:rPr>
          <w:rFonts w:ascii="Arial"/>
          <w:sz w:val="14"/>
        </w:rPr>
        <w:t>Chemical Technologies and Analytics</w:t>
      </w:r>
    </w:p>
    <w:p w:rsidR="004237EF" w:rsidRDefault="009E1722">
      <w:pPr>
        <w:pStyle w:val="Textkrper"/>
        <w:rPr>
          <w:rFonts w:ascii="Arial"/>
          <w:sz w:val="14"/>
          <w:lang w:val="en-GB"/>
        </w:rPr>
      </w:pPr>
      <w:r>
        <w:rPr>
          <w:rFonts w:ascii="Arial"/>
          <w:sz w:val="14"/>
          <w:vertAlign w:val="superscript"/>
          <w:lang w:val="en-GB"/>
        </w:rPr>
        <w:t>3</w:t>
      </w:r>
      <w:r w:rsidR="004237EF">
        <w:rPr>
          <w:rFonts w:ascii="Arial"/>
          <w:sz w:val="14"/>
          <w:lang w:val="en-GB"/>
        </w:rPr>
        <w:t xml:space="preserve"> Ukrainian State University of Chemical </w:t>
      </w:r>
      <w:proofErr w:type="gramStart"/>
      <w:r w:rsidR="004237EF">
        <w:rPr>
          <w:rFonts w:ascii="Arial"/>
          <w:sz w:val="14"/>
          <w:lang w:val="en-GB"/>
        </w:rPr>
        <w:t>Technology</w:t>
      </w:r>
      <w:proofErr w:type="gramEnd"/>
      <w:r w:rsidR="004237EF">
        <w:rPr>
          <w:rFonts w:ascii="Arial"/>
          <w:sz w:val="14"/>
          <w:lang w:val="en-GB"/>
        </w:rPr>
        <w:t>, Department of Materials Science</w:t>
      </w:r>
    </w:p>
    <w:p w:rsidR="004237EF" w:rsidRPr="004237EF" w:rsidRDefault="009E1722">
      <w:pPr>
        <w:pStyle w:val="Textkrper"/>
        <w:rPr>
          <w:rFonts w:ascii="Arial"/>
          <w:sz w:val="14"/>
          <w:lang w:val="en-GB"/>
        </w:rPr>
      </w:pPr>
      <w:r>
        <w:rPr>
          <w:rFonts w:ascii="Arial"/>
          <w:sz w:val="14"/>
          <w:vertAlign w:val="superscript"/>
          <w:lang w:val="en-GB"/>
        </w:rPr>
        <w:t>4</w:t>
      </w:r>
      <w:r w:rsidR="004237EF" w:rsidRPr="004237EF">
        <w:rPr>
          <w:rFonts w:ascii="Arial"/>
          <w:sz w:val="14"/>
          <w:vertAlign w:val="superscript"/>
          <w:lang w:val="en-GB"/>
        </w:rPr>
        <w:t xml:space="preserve"> </w:t>
      </w:r>
      <w:r w:rsidR="004237EF">
        <w:rPr>
          <w:rFonts w:ascii="Arial"/>
          <w:sz w:val="14"/>
          <w:lang w:val="en-GB"/>
        </w:rPr>
        <w:t xml:space="preserve">Medical University of Vienna, </w:t>
      </w:r>
      <w:r w:rsidR="004237EF" w:rsidRPr="004237EF">
        <w:rPr>
          <w:rFonts w:ascii="Arial"/>
          <w:sz w:val="14"/>
          <w:lang w:val="en-GB"/>
        </w:rPr>
        <w:t>Department of Orthopaedic Surgery</w:t>
      </w:r>
    </w:p>
    <w:p w:rsidR="00AE3E37" w:rsidRDefault="00AE3E37">
      <w:pPr>
        <w:rPr>
          <w:rFonts w:ascii="Arial"/>
          <w:sz w:val="21"/>
          <w:lang w:val="en-GB"/>
        </w:rPr>
      </w:pPr>
    </w:p>
    <w:p w:rsidR="004237EF" w:rsidRPr="004237EF" w:rsidRDefault="004237EF">
      <w:pPr>
        <w:rPr>
          <w:rFonts w:ascii="Arial"/>
          <w:sz w:val="21"/>
          <w:lang w:val="en-GB"/>
        </w:rPr>
        <w:sectPr w:rsidR="004237EF" w:rsidRPr="004237EF">
          <w:headerReference w:type="default" r:id="rId10"/>
          <w:footerReference w:type="default" r:id="rId11"/>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lastRenderedPageBreak/>
        <w:t>Abstract</w:t>
      </w:r>
      <w:r w:rsidR="00404E5B">
        <w:rPr>
          <w:color w:val="BF5A14"/>
        </w:rPr>
        <w:t xml:space="preserve"> </w:t>
      </w:r>
    </w:p>
    <w:p w:rsidR="005B779F" w:rsidRPr="005B779F" w:rsidRDefault="005B779F" w:rsidP="005B779F">
      <w:pPr>
        <w:pStyle w:val="berschrift3"/>
        <w:spacing w:before="74"/>
        <w:jc w:val="both"/>
        <w:rPr>
          <w:rFonts w:ascii="Tw Cen MT" w:eastAsia="Tw Cen MT" w:hAnsi="Tw Cen MT" w:cs="Tw Cen MT"/>
          <w:b w:val="0"/>
          <w:bCs w:val="0"/>
          <w:sz w:val="18"/>
          <w:szCs w:val="18"/>
        </w:rPr>
      </w:pPr>
      <w:r w:rsidRPr="005B779F">
        <w:rPr>
          <w:rFonts w:ascii="Tw Cen MT" w:eastAsia="Tw Cen MT" w:hAnsi="Tw Cen MT" w:cs="Tw Cen MT"/>
          <w:b w:val="0"/>
          <w:bCs w:val="0"/>
          <w:sz w:val="18"/>
          <w:szCs w:val="18"/>
        </w:rPr>
        <w:t xml:space="preserve">Statement of the Problem: Titanium and its alloys are widely used as implant material due to their tensile strength, flexibility, corrosion resistance, high </w:t>
      </w:r>
      <w:proofErr w:type="spellStart"/>
      <w:r w:rsidRPr="005B779F">
        <w:rPr>
          <w:rFonts w:ascii="Tw Cen MT" w:eastAsia="Tw Cen MT" w:hAnsi="Tw Cen MT" w:cs="Tw Cen MT"/>
          <w:b w:val="0"/>
          <w:bCs w:val="0"/>
          <w:sz w:val="18"/>
          <w:szCs w:val="18"/>
        </w:rPr>
        <w:t>hemo</w:t>
      </w:r>
      <w:proofErr w:type="spellEnd"/>
      <w:r w:rsidRPr="005B779F">
        <w:rPr>
          <w:rFonts w:ascii="Tw Cen MT" w:eastAsia="Tw Cen MT" w:hAnsi="Tw Cen MT" w:cs="Tw Cen MT"/>
          <w:b w:val="0"/>
          <w:bCs w:val="0"/>
          <w:sz w:val="18"/>
          <w:szCs w:val="18"/>
        </w:rPr>
        <w:t xml:space="preserve">- and biocompatibility [1]. A defined surface </w:t>
      </w:r>
      <w:proofErr w:type="spellStart"/>
      <w:r w:rsidRPr="005B779F">
        <w:rPr>
          <w:rFonts w:ascii="Tw Cen MT" w:eastAsia="Tw Cen MT" w:hAnsi="Tw Cen MT" w:cs="Tw Cen MT"/>
          <w:b w:val="0"/>
          <w:bCs w:val="0"/>
          <w:sz w:val="18"/>
          <w:szCs w:val="18"/>
        </w:rPr>
        <w:t>nanotopology</w:t>
      </w:r>
      <w:proofErr w:type="spellEnd"/>
      <w:r w:rsidRPr="005B779F">
        <w:rPr>
          <w:rFonts w:ascii="Tw Cen MT" w:eastAsia="Tw Cen MT" w:hAnsi="Tw Cen MT" w:cs="Tw Cen MT"/>
          <w:b w:val="0"/>
          <w:bCs w:val="0"/>
          <w:sz w:val="18"/>
          <w:szCs w:val="18"/>
        </w:rPr>
        <w:t xml:space="preserve"> offers guidance of the implant vs. cell interaction</w:t>
      </w:r>
      <w:r w:rsidR="00CF2423">
        <w:rPr>
          <w:rFonts w:ascii="Tw Cen MT" w:eastAsia="Tw Cen MT" w:hAnsi="Tw Cen MT" w:cs="Tw Cen MT"/>
          <w:b w:val="0"/>
          <w:bCs w:val="0"/>
          <w:sz w:val="18"/>
          <w:szCs w:val="18"/>
        </w:rPr>
        <w:t xml:space="preserve"> </w:t>
      </w:r>
      <w:r w:rsidRPr="005B779F">
        <w:rPr>
          <w:rFonts w:ascii="Tw Cen MT" w:eastAsia="Tw Cen MT" w:hAnsi="Tw Cen MT" w:cs="Tw Cen MT"/>
          <w:b w:val="0"/>
          <w:bCs w:val="0"/>
          <w:sz w:val="18"/>
          <w:szCs w:val="18"/>
        </w:rPr>
        <w:t>[2, 3] and at the same time gives opportunities for further modifications; promoting the bone growth</w:t>
      </w:r>
      <w:r w:rsidR="00CF2423">
        <w:rPr>
          <w:rFonts w:ascii="Tw Cen MT" w:eastAsia="Tw Cen MT" w:hAnsi="Tw Cen MT" w:cs="Tw Cen MT"/>
          <w:b w:val="0"/>
          <w:bCs w:val="0"/>
          <w:sz w:val="18"/>
          <w:szCs w:val="18"/>
        </w:rPr>
        <w:t xml:space="preserve"> </w:t>
      </w:r>
      <w:r w:rsidRPr="005B779F">
        <w:rPr>
          <w:rFonts w:ascii="Tw Cen MT" w:eastAsia="Tw Cen MT" w:hAnsi="Tw Cen MT" w:cs="Tw Cen MT"/>
          <w:b w:val="0"/>
          <w:bCs w:val="0"/>
          <w:sz w:val="18"/>
          <w:szCs w:val="18"/>
        </w:rPr>
        <w:t>[4], providing nano-containers for antibacterial agents [5, 6], etc..</w:t>
      </w:r>
    </w:p>
    <w:p w:rsidR="005B779F" w:rsidRPr="005B779F" w:rsidRDefault="005B779F" w:rsidP="005B779F">
      <w:pPr>
        <w:pStyle w:val="berschrift3"/>
        <w:spacing w:before="74"/>
        <w:jc w:val="both"/>
        <w:rPr>
          <w:rFonts w:ascii="Tw Cen MT" w:eastAsia="Tw Cen MT" w:hAnsi="Tw Cen MT" w:cs="Tw Cen MT"/>
          <w:b w:val="0"/>
          <w:bCs w:val="0"/>
          <w:sz w:val="18"/>
          <w:szCs w:val="18"/>
        </w:rPr>
      </w:pPr>
      <w:r w:rsidRPr="005B779F">
        <w:rPr>
          <w:rFonts w:ascii="Tw Cen MT" w:eastAsia="Tw Cen MT" w:hAnsi="Tw Cen MT" w:cs="Tw Cen MT"/>
          <w:b w:val="0"/>
          <w:bCs w:val="0"/>
          <w:sz w:val="18"/>
          <w:szCs w:val="18"/>
        </w:rPr>
        <w:t>Methodology &amp; Theoretical Orientation: Different strategies are applied to modify titanium and titanium alloy implant material, aiming at better antibacterial properties and biocompatibility. Pure titanium and titanium alloy Ti7Al are anodized to create titanium nanotubes. Subsequently, the nanotubes are annealed in order to transform the obtained TiO</w:t>
      </w:r>
      <w:r w:rsidRPr="00723F0B">
        <w:rPr>
          <w:rFonts w:ascii="Tw Cen MT" w:eastAsia="Tw Cen MT" w:hAnsi="Tw Cen MT" w:cs="Tw Cen MT"/>
          <w:b w:val="0"/>
          <w:bCs w:val="0"/>
          <w:sz w:val="18"/>
          <w:szCs w:val="18"/>
          <w:vertAlign w:val="subscript"/>
        </w:rPr>
        <w:t>2</w:t>
      </w:r>
      <w:r w:rsidRPr="005B779F">
        <w:rPr>
          <w:rFonts w:ascii="Tw Cen MT" w:eastAsia="Tw Cen MT" w:hAnsi="Tw Cen MT" w:cs="Tw Cen MT"/>
          <w:b w:val="0"/>
          <w:bCs w:val="0"/>
          <w:sz w:val="18"/>
          <w:szCs w:val="18"/>
        </w:rPr>
        <w:t xml:space="preserve"> into TiO</w:t>
      </w:r>
      <w:r w:rsidRPr="00CF2423">
        <w:rPr>
          <w:rFonts w:ascii="Tw Cen MT" w:eastAsia="Tw Cen MT" w:hAnsi="Tw Cen MT" w:cs="Tw Cen MT"/>
          <w:b w:val="0"/>
          <w:bCs w:val="0"/>
          <w:sz w:val="18"/>
          <w:szCs w:val="18"/>
          <w:vertAlign w:val="subscript"/>
        </w:rPr>
        <w:t>2</w:t>
      </w:r>
      <w:r w:rsidRPr="005B779F">
        <w:rPr>
          <w:rFonts w:ascii="Tw Cen MT" w:eastAsia="Tw Cen MT" w:hAnsi="Tw Cen MT" w:cs="Tw Cen MT"/>
          <w:b w:val="0"/>
          <w:bCs w:val="0"/>
          <w:sz w:val="18"/>
          <w:szCs w:val="18"/>
        </w:rPr>
        <w:t xml:space="preserve"> </w:t>
      </w:r>
      <w:proofErr w:type="spellStart"/>
      <w:r w:rsidRPr="005B779F">
        <w:rPr>
          <w:rFonts w:ascii="Tw Cen MT" w:eastAsia="Tw Cen MT" w:hAnsi="Tw Cen MT" w:cs="Tw Cen MT"/>
          <w:b w:val="0"/>
          <w:bCs w:val="0"/>
          <w:sz w:val="18"/>
          <w:szCs w:val="18"/>
        </w:rPr>
        <w:t>anatase</w:t>
      </w:r>
      <w:proofErr w:type="spellEnd"/>
      <w:r w:rsidRPr="005B779F">
        <w:rPr>
          <w:rFonts w:ascii="Tw Cen MT" w:eastAsia="Tw Cen MT" w:hAnsi="Tw Cen MT" w:cs="Tw Cen MT"/>
          <w:b w:val="0"/>
          <w:bCs w:val="0"/>
          <w:sz w:val="18"/>
          <w:szCs w:val="18"/>
        </w:rPr>
        <w:t xml:space="preserve"> phase (XRD and Raman</w:t>
      </w:r>
      <w:r w:rsidR="009E1722">
        <w:rPr>
          <w:rFonts w:ascii="Tw Cen MT" w:eastAsia="Tw Cen MT" w:hAnsi="Tw Cen MT" w:cs="Tw Cen MT"/>
          <w:b w:val="0"/>
          <w:bCs w:val="0"/>
          <w:sz w:val="18"/>
          <w:szCs w:val="18"/>
        </w:rPr>
        <w:t xml:space="preserve"> spectroscopy</w:t>
      </w:r>
      <w:r w:rsidRPr="005B779F">
        <w:rPr>
          <w:rFonts w:ascii="Tw Cen MT" w:eastAsia="Tw Cen MT" w:hAnsi="Tw Cen MT" w:cs="Tw Cen MT"/>
          <w:b w:val="0"/>
          <w:bCs w:val="0"/>
          <w:sz w:val="18"/>
          <w:szCs w:val="18"/>
        </w:rPr>
        <w:t>). In a following step the surface is electrochemically modified.</w:t>
      </w:r>
    </w:p>
    <w:p w:rsidR="005B779F" w:rsidRPr="005B779F" w:rsidRDefault="005B779F" w:rsidP="005B779F">
      <w:pPr>
        <w:pStyle w:val="berschrift3"/>
        <w:spacing w:before="74"/>
        <w:jc w:val="both"/>
        <w:rPr>
          <w:rFonts w:ascii="Tw Cen MT" w:eastAsia="Tw Cen MT" w:hAnsi="Tw Cen MT" w:cs="Tw Cen MT"/>
          <w:b w:val="0"/>
          <w:bCs w:val="0"/>
          <w:sz w:val="18"/>
          <w:szCs w:val="18"/>
        </w:rPr>
      </w:pPr>
      <w:r w:rsidRPr="005B779F">
        <w:rPr>
          <w:rFonts w:ascii="Tw Cen MT" w:eastAsia="Tw Cen MT" w:hAnsi="Tw Cen MT" w:cs="Tw Cen MT"/>
          <w:b w:val="0"/>
          <w:bCs w:val="0"/>
          <w:sz w:val="18"/>
          <w:szCs w:val="18"/>
        </w:rPr>
        <w:t xml:space="preserve">Findings: It is shown that addition of phosphate to the ethylene glycol based bath has certain influence on the titanium nanotubes topology. </w:t>
      </w:r>
      <w:proofErr w:type="spellStart"/>
      <w:r w:rsidRPr="005B779F">
        <w:rPr>
          <w:rFonts w:ascii="Tw Cen MT" w:eastAsia="Tw Cen MT" w:hAnsi="Tw Cen MT" w:cs="Tw Cen MT"/>
          <w:b w:val="0"/>
          <w:bCs w:val="0"/>
          <w:sz w:val="18"/>
          <w:szCs w:val="18"/>
        </w:rPr>
        <w:t>Nanotubes</w:t>
      </w:r>
      <w:proofErr w:type="spellEnd"/>
      <w:r w:rsidRPr="005B779F">
        <w:rPr>
          <w:rFonts w:ascii="Tw Cen MT" w:eastAsia="Tw Cen MT" w:hAnsi="Tw Cen MT" w:cs="Tw Cen MT"/>
          <w:b w:val="0"/>
          <w:bCs w:val="0"/>
          <w:sz w:val="18"/>
          <w:szCs w:val="18"/>
        </w:rPr>
        <w:t xml:space="preserve"> (</w:t>
      </w:r>
      <w:proofErr w:type="spellStart"/>
      <w:r w:rsidRPr="005B779F">
        <w:rPr>
          <w:rFonts w:ascii="Tw Cen MT" w:eastAsia="Tw Cen MT" w:hAnsi="Tw Cen MT" w:cs="Tw Cen MT"/>
          <w:b w:val="0"/>
          <w:bCs w:val="0"/>
          <w:sz w:val="18"/>
          <w:szCs w:val="18"/>
        </w:rPr>
        <w:t>pTNT</w:t>
      </w:r>
      <w:proofErr w:type="spellEnd"/>
      <w:r w:rsidRPr="005B779F">
        <w:rPr>
          <w:rFonts w:ascii="Tw Cen MT" w:eastAsia="Tw Cen MT" w:hAnsi="Tw Cen MT" w:cs="Tw Cen MT"/>
          <w:b w:val="0"/>
          <w:bCs w:val="0"/>
          <w:sz w:val="18"/>
          <w:szCs w:val="18"/>
        </w:rPr>
        <w:t xml:space="preserve">) with a diameter of 100 nm are produced in ethylene glycol containing fluoride and phosphate, as additives. By electrochemical deposition the </w:t>
      </w:r>
      <w:proofErr w:type="spellStart"/>
      <w:r w:rsidRPr="005B779F">
        <w:rPr>
          <w:rFonts w:ascii="Tw Cen MT" w:eastAsia="Tw Cen MT" w:hAnsi="Tw Cen MT" w:cs="Tw Cen MT"/>
          <w:b w:val="0"/>
          <w:bCs w:val="0"/>
          <w:sz w:val="18"/>
          <w:szCs w:val="18"/>
        </w:rPr>
        <w:t>pTNT</w:t>
      </w:r>
      <w:proofErr w:type="spellEnd"/>
      <w:r w:rsidRPr="005B779F">
        <w:rPr>
          <w:rFonts w:ascii="Tw Cen MT" w:eastAsia="Tw Cen MT" w:hAnsi="Tw Cen MT" w:cs="Tw Cen MT"/>
          <w:b w:val="0"/>
          <w:bCs w:val="0"/>
          <w:sz w:val="18"/>
          <w:szCs w:val="18"/>
        </w:rPr>
        <w:t xml:space="preserve"> are uniformly filled with Se and coated with Cu</w:t>
      </w:r>
      <w:r w:rsidRPr="00F85728">
        <w:rPr>
          <w:rFonts w:ascii="Tw Cen MT" w:eastAsia="Tw Cen MT" w:hAnsi="Tw Cen MT" w:cs="Tw Cen MT"/>
          <w:b w:val="0"/>
          <w:bCs w:val="0"/>
          <w:sz w:val="18"/>
          <w:szCs w:val="18"/>
          <w:vertAlign w:val="subscript"/>
        </w:rPr>
        <w:t>2</w:t>
      </w:r>
      <w:r w:rsidRPr="005B779F">
        <w:rPr>
          <w:rFonts w:ascii="Tw Cen MT" w:eastAsia="Tw Cen MT" w:hAnsi="Tw Cen MT" w:cs="Tw Cen MT"/>
          <w:b w:val="0"/>
          <w:bCs w:val="0"/>
          <w:sz w:val="18"/>
          <w:szCs w:val="18"/>
        </w:rPr>
        <w:t>Se or Ag</w:t>
      </w:r>
      <w:r w:rsidRPr="00F85728">
        <w:rPr>
          <w:rFonts w:ascii="Tw Cen MT" w:eastAsia="Tw Cen MT" w:hAnsi="Tw Cen MT" w:cs="Tw Cen MT"/>
          <w:b w:val="0"/>
          <w:bCs w:val="0"/>
          <w:sz w:val="18"/>
          <w:szCs w:val="18"/>
          <w:vertAlign w:val="subscript"/>
        </w:rPr>
        <w:t>2</w:t>
      </w:r>
      <w:r w:rsidRPr="005B779F">
        <w:rPr>
          <w:rFonts w:ascii="Tw Cen MT" w:eastAsia="Tw Cen MT" w:hAnsi="Tw Cen MT" w:cs="Tw Cen MT"/>
          <w:b w:val="0"/>
          <w:bCs w:val="0"/>
          <w:sz w:val="18"/>
          <w:szCs w:val="18"/>
        </w:rPr>
        <w:t xml:space="preserve">Se. The composition and the structure of the layers are confirmed by EDX, FIB, SEM and XRD. A positive effect of Se on the nucleation of </w:t>
      </w:r>
      <w:proofErr w:type="spellStart"/>
      <w:r w:rsidRPr="005B779F">
        <w:rPr>
          <w:rFonts w:ascii="Tw Cen MT" w:eastAsia="Tw Cen MT" w:hAnsi="Tw Cen MT" w:cs="Tw Cen MT"/>
          <w:b w:val="0"/>
          <w:bCs w:val="0"/>
          <w:sz w:val="18"/>
          <w:szCs w:val="18"/>
        </w:rPr>
        <w:t>hydroxyapatite</w:t>
      </w:r>
      <w:proofErr w:type="spellEnd"/>
      <w:r w:rsidRPr="005B779F">
        <w:rPr>
          <w:rFonts w:ascii="Tw Cen MT" w:eastAsia="Tw Cen MT" w:hAnsi="Tw Cen MT" w:cs="Tw Cen MT"/>
          <w:b w:val="0"/>
          <w:bCs w:val="0"/>
          <w:sz w:val="18"/>
          <w:szCs w:val="18"/>
        </w:rPr>
        <w:t xml:space="preserve"> (</w:t>
      </w:r>
      <w:proofErr w:type="spellStart"/>
      <w:r w:rsidRPr="005B779F">
        <w:rPr>
          <w:rFonts w:ascii="Tw Cen MT" w:eastAsia="Tw Cen MT" w:hAnsi="Tw Cen MT" w:cs="Tw Cen MT"/>
          <w:b w:val="0"/>
          <w:bCs w:val="0"/>
          <w:sz w:val="18"/>
          <w:szCs w:val="18"/>
        </w:rPr>
        <w:t>H</w:t>
      </w:r>
      <w:r w:rsidR="00F85728">
        <w:rPr>
          <w:rFonts w:ascii="Tw Cen MT" w:eastAsia="Tw Cen MT" w:hAnsi="Tw Cen MT" w:cs="Tw Cen MT"/>
          <w:b w:val="0"/>
          <w:bCs w:val="0"/>
          <w:sz w:val="18"/>
          <w:szCs w:val="18"/>
        </w:rPr>
        <w:t>A</w:t>
      </w:r>
      <w:r w:rsidRPr="005B779F">
        <w:rPr>
          <w:rFonts w:ascii="Tw Cen MT" w:eastAsia="Tw Cen MT" w:hAnsi="Tw Cen MT" w:cs="Tw Cen MT"/>
          <w:b w:val="0"/>
          <w:bCs w:val="0"/>
          <w:sz w:val="18"/>
          <w:szCs w:val="18"/>
        </w:rPr>
        <w:t>p</w:t>
      </w:r>
      <w:proofErr w:type="spellEnd"/>
      <w:r w:rsidRPr="005B779F">
        <w:rPr>
          <w:rFonts w:ascii="Tw Cen MT" w:eastAsia="Tw Cen MT" w:hAnsi="Tw Cen MT" w:cs="Tw Cen MT"/>
          <w:b w:val="0"/>
          <w:bCs w:val="0"/>
          <w:sz w:val="18"/>
          <w:szCs w:val="18"/>
        </w:rPr>
        <w:t xml:space="preserve">) during the electrodeposition was established. The quality and adhesion of the </w:t>
      </w:r>
      <w:proofErr w:type="spellStart"/>
      <w:r w:rsidRPr="005B779F">
        <w:rPr>
          <w:rFonts w:ascii="Tw Cen MT" w:eastAsia="Tw Cen MT" w:hAnsi="Tw Cen MT" w:cs="Tw Cen MT"/>
          <w:b w:val="0"/>
          <w:bCs w:val="0"/>
          <w:sz w:val="18"/>
          <w:szCs w:val="18"/>
        </w:rPr>
        <w:t>HAp</w:t>
      </w:r>
      <w:proofErr w:type="spellEnd"/>
      <w:r w:rsidRPr="005B779F">
        <w:rPr>
          <w:rFonts w:ascii="Tw Cen MT" w:eastAsia="Tw Cen MT" w:hAnsi="Tw Cen MT" w:cs="Tw Cen MT"/>
          <w:b w:val="0"/>
          <w:bCs w:val="0"/>
          <w:sz w:val="18"/>
          <w:szCs w:val="18"/>
        </w:rPr>
        <w:t xml:space="preserve"> coating is found to strongly depend on the structure of the substrate, the pH value of the bath, the applied voltage and the temperature.</w:t>
      </w:r>
    </w:p>
    <w:p w:rsidR="00C27708" w:rsidRPr="004237EF" w:rsidRDefault="005B779F" w:rsidP="004237EF">
      <w:pPr>
        <w:pStyle w:val="berschrift3"/>
        <w:spacing w:before="74"/>
        <w:rPr>
          <w:b w:val="0"/>
        </w:rPr>
      </w:pPr>
      <w:r w:rsidRPr="005B779F">
        <w:rPr>
          <w:rFonts w:ascii="Tw Cen MT" w:eastAsia="Tw Cen MT" w:hAnsi="Tw Cen MT" w:cs="Tw Cen MT"/>
          <w:b w:val="0"/>
          <w:bCs w:val="0"/>
          <w:sz w:val="18"/>
          <w:szCs w:val="18"/>
        </w:rPr>
        <w:t xml:space="preserve">Conclusion &amp; Significance: Uniform and circular </w:t>
      </w:r>
      <w:proofErr w:type="spellStart"/>
      <w:r w:rsidRPr="005B779F">
        <w:rPr>
          <w:rFonts w:ascii="Tw Cen MT" w:eastAsia="Tw Cen MT" w:hAnsi="Tw Cen MT" w:cs="Tw Cen MT"/>
          <w:b w:val="0"/>
          <w:bCs w:val="0"/>
          <w:sz w:val="18"/>
          <w:szCs w:val="18"/>
        </w:rPr>
        <w:t>pTNT</w:t>
      </w:r>
      <w:proofErr w:type="spellEnd"/>
      <w:r w:rsidRPr="005B779F">
        <w:rPr>
          <w:rFonts w:ascii="Tw Cen MT" w:eastAsia="Tw Cen MT" w:hAnsi="Tw Cen MT" w:cs="Tw Cen MT"/>
          <w:b w:val="0"/>
          <w:bCs w:val="0"/>
          <w:sz w:val="18"/>
          <w:szCs w:val="18"/>
        </w:rPr>
        <w:t xml:space="preserve"> with a diameter of 100 nm are produced and regularly filled with antibacterial agent. A bone like substance </w:t>
      </w:r>
      <w:proofErr w:type="spellStart"/>
      <w:r w:rsidRPr="005B779F">
        <w:rPr>
          <w:rFonts w:ascii="Tw Cen MT" w:eastAsia="Tw Cen MT" w:hAnsi="Tw Cen MT" w:cs="Tw Cen MT"/>
          <w:b w:val="0"/>
          <w:bCs w:val="0"/>
          <w:sz w:val="18"/>
          <w:szCs w:val="18"/>
        </w:rPr>
        <w:t>HAp</w:t>
      </w:r>
      <w:proofErr w:type="spellEnd"/>
      <w:r w:rsidRPr="005B779F">
        <w:rPr>
          <w:rFonts w:ascii="Tw Cen MT" w:eastAsia="Tw Cen MT" w:hAnsi="Tw Cen MT" w:cs="Tw Cen MT"/>
          <w:b w:val="0"/>
          <w:bCs w:val="0"/>
          <w:sz w:val="18"/>
          <w:szCs w:val="18"/>
        </w:rPr>
        <w:t xml:space="preserve"> with nano-crystalline structure is successfully electrodeposited on the </w:t>
      </w:r>
      <w:proofErr w:type="spellStart"/>
      <w:r w:rsidRPr="005B779F">
        <w:rPr>
          <w:rFonts w:ascii="Tw Cen MT" w:eastAsia="Tw Cen MT" w:hAnsi="Tw Cen MT" w:cs="Tw Cen MT"/>
          <w:b w:val="0"/>
          <w:bCs w:val="0"/>
          <w:sz w:val="18"/>
          <w:szCs w:val="18"/>
        </w:rPr>
        <w:t>pTNT</w:t>
      </w:r>
      <w:proofErr w:type="spellEnd"/>
      <w:r w:rsidRPr="005B779F">
        <w:rPr>
          <w:rFonts w:ascii="Tw Cen MT" w:eastAsia="Tw Cen MT" w:hAnsi="Tw Cen MT" w:cs="Tw Cen MT"/>
          <w:b w:val="0"/>
          <w:bCs w:val="0"/>
          <w:sz w:val="18"/>
          <w:szCs w:val="18"/>
        </w:rPr>
        <w:t xml:space="preserve"> surface. The as prepared coatings will be further examined in medical in-vitro and in-vivo experiments and undergo clinical tests.</w:t>
      </w:r>
      <w:r w:rsidR="00A9710C">
        <w:rPr>
          <w:b w:val="0"/>
        </w:rPr>
        <w:br w:type="column"/>
      </w:r>
      <w:r w:rsidR="00A9710C">
        <w:rPr>
          <w:color w:val="BF5A14"/>
        </w:rPr>
        <w:lastRenderedPageBreak/>
        <w:t>Image</w:t>
      </w:r>
      <w:bookmarkStart w:id="0" w:name="_GoBack"/>
      <w:bookmarkEnd w:id="0"/>
    </w:p>
    <w:p w:rsidR="00A14906" w:rsidRDefault="008809B5" w:rsidP="008809B5">
      <w:pPr>
        <w:pStyle w:val="berschrift3"/>
        <w:spacing w:before="74"/>
      </w:pPr>
      <w:r w:rsidRPr="008809B5">
        <w:rPr>
          <w:noProof/>
          <w:lang w:val="de-AT" w:eastAsia="de-AT"/>
        </w:rPr>
        <w:drawing>
          <wp:inline distT="0" distB="0" distL="0" distR="0">
            <wp:extent cx="3165475" cy="2083169"/>
            <wp:effectExtent l="19050" t="0" r="0" b="0"/>
            <wp:docPr id="55" name="Objekt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24936" cy="5544616"/>
                      <a:chOff x="107504" y="116632"/>
                      <a:chExt cx="8424936" cy="5544616"/>
                    </a:xfrm>
                  </a:grpSpPr>
                  <a:sp>
                    <a:nvSpPr>
                      <a:cNvPr id="38" name="Abgerundetes Rechteck 37"/>
                      <a:cNvSpPr/>
                    </a:nvSpPr>
                    <a:spPr>
                      <a:xfrm>
                        <a:off x="107504" y="2420888"/>
                        <a:ext cx="1584176" cy="1872208"/>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a:p>
                      </a:txBody>
                      <a:useSpRect/>
                    </a:txSp>
                    <a:style>
                      <a:lnRef idx="2">
                        <a:schemeClr val="accent1">
                          <a:shade val="50000"/>
                        </a:schemeClr>
                      </a:lnRef>
                      <a:fillRef idx="1">
                        <a:schemeClr val="accent1"/>
                      </a:fillRef>
                      <a:effectRef idx="0">
                        <a:schemeClr val="accent1"/>
                      </a:effectRef>
                      <a:fontRef idx="minor">
                        <a:schemeClr val="lt1"/>
                      </a:fontRef>
                    </a:style>
                  </a:sp>
                  <a:sp>
                    <a:nvSpPr>
                      <a:cNvPr id="36" name="Abgerundetes Rechteck 35"/>
                      <a:cNvSpPr/>
                    </a:nvSpPr>
                    <a:spPr>
                      <a:xfrm>
                        <a:off x="2195736" y="2420888"/>
                        <a:ext cx="1944216" cy="1872208"/>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Abgerundetes Rechteck 3"/>
                      <a:cNvSpPr/>
                    </a:nvSpPr>
                    <a:spPr>
                      <a:xfrm>
                        <a:off x="107504" y="1484784"/>
                        <a:ext cx="1584000" cy="360040"/>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Anodisation</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Abgerundetes Rechteck 5"/>
                      <a:cNvSpPr/>
                    </a:nvSpPr>
                    <a:spPr>
                      <a:xfrm>
                        <a:off x="2339752" y="1484784"/>
                        <a:ext cx="1584176" cy="360040"/>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Annealing</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Abgerundetes Rechteck 6"/>
                      <a:cNvSpPr/>
                    </a:nvSpPr>
                    <a:spPr>
                      <a:xfrm>
                        <a:off x="4572000" y="116632"/>
                        <a:ext cx="3960440" cy="5544616"/>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Pfeil nach rechts 7"/>
                      <a:cNvSpPr/>
                    </a:nvSpPr>
                    <a:spPr>
                      <a:xfrm>
                        <a:off x="1835696" y="1556792"/>
                        <a:ext cx="432048" cy="216024"/>
                      </a:xfrm>
                      <a:prstGeom prst="rightArrow">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Pfeil nach rechts 8"/>
                      <a:cNvSpPr/>
                    </a:nvSpPr>
                    <a:spPr>
                      <a:xfrm>
                        <a:off x="3995936" y="1556792"/>
                        <a:ext cx="432048" cy="216024"/>
                      </a:xfrm>
                      <a:prstGeom prst="rightArrow">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Pfeil nach rechts 13"/>
                      <a:cNvSpPr/>
                    </a:nvSpPr>
                    <a:spPr>
                      <a:xfrm rot="5400000">
                        <a:off x="719571" y="2024844"/>
                        <a:ext cx="432048" cy="216024"/>
                      </a:xfrm>
                      <a:prstGeom prst="rightArrow">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Abgerundetes Rechteck 15"/>
                      <a:cNvSpPr/>
                    </a:nvSpPr>
                    <a:spPr>
                      <a:xfrm>
                        <a:off x="107504" y="2564904"/>
                        <a:ext cx="1584176" cy="432048"/>
                      </a:xfrm>
                      <a:prstGeom prst="roundRect">
                        <a:avLst>
                          <a:gd name="adj" fmla="val 0"/>
                        </a:avLst>
                      </a:prstGeom>
                      <a:noFill/>
                      <a:ln>
                        <a:noFill/>
                      </a:ln>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a:r>
                            <a:rPr lang="en-GB" sz="1400" dirty="0" smtClean="0"/>
                            <a:t>Formation of titania nanotubes</a:t>
                          </a:r>
                          <a:endParaRPr lang="en-GB" sz="1400" dirty="0"/>
                        </a:p>
                      </a:txBody>
                      <a:useSpRect/>
                    </a:txSp>
                    <a:style>
                      <a:lnRef idx="2">
                        <a:schemeClr val="accent1">
                          <a:shade val="50000"/>
                        </a:schemeClr>
                      </a:lnRef>
                      <a:fillRef idx="1">
                        <a:schemeClr val="accent1"/>
                      </a:fillRef>
                      <a:effectRef idx="0">
                        <a:schemeClr val="accent1"/>
                      </a:effectRef>
                      <a:fontRef idx="minor">
                        <a:schemeClr val="lt1"/>
                      </a:fontRef>
                    </a:style>
                  </a:sp>
                  <a:pic>
                    <a:nvPicPr>
                      <a:cNvPr id="17" name="Grafik 16" descr="DW813"/>
                      <a:cNvPicPr/>
                    </a:nvPicPr>
                    <a:blipFill>
                      <a:blip r:embed="rId12" cstate="print"/>
                      <a:srcRect/>
                      <a:stretch>
                        <a:fillRect/>
                      </a:stretch>
                    </a:blipFill>
                    <a:spPr bwMode="auto">
                      <a:xfrm>
                        <a:off x="251520" y="3140968"/>
                        <a:ext cx="1296144" cy="936104"/>
                      </a:xfrm>
                      <a:prstGeom prst="rect">
                        <a:avLst/>
                      </a:prstGeom>
                      <a:noFill/>
                      <a:ln>
                        <a:solidFill>
                          <a:schemeClr val="tx1"/>
                        </a:solidFill>
                      </a:ln>
                    </a:spPr>
                  </a:pic>
                  <a:sp>
                    <a:nvSpPr>
                      <a:cNvPr id="18" name="Pfeil nach rechts 17"/>
                      <a:cNvSpPr/>
                    </a:nvSpPr>
                    <a:spPr>
                      <a:xfrm rot="5400000">
                        <a:off x="2951820" y="2024844"/>
                        <a:ext cx="432048" cy="216024"/>
                      </a:xfrm>
                      <a:prstGeom prst="rightArrow">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a:p>
                      </a:txBody>
                      <a:useSpRect/>
                    </a:txSp>
                    <a:style>
                      <a:lnRef idx="2">
                        <a:schemeClr val="accent1">
                          <a:shade val="50000"/>
                        </a:schemeClr>
                      </a:lnRef>
                      <a:fillRef idx="1">
                        <a:schemeClr val="accent1"/>
                      </a:fillRef>
                      <a:effectRef idx="0">
                        <a:schemeClr val="accent1"/>
                      </a:effectRef>
                      <a:fontRef idx="minor">
                        <a:schemeClr val="lt1"/>
                      </a:fontRef>
                    </a:style>
                  </a:sp>
                  <a:sp>
                    <a:nvSpPr>
                      <a:cNvPr id="19" name="Abgerundetes Rechteck 18"/>
                      <a:cNvSpPr/>
                    </a:nvSpPr>
                    <a:spPr>
                      <a:xfrm>
                        <a:off x="2195736" y="2420888"/>
                        <a:ext cx="1944216" cy="720080"/>
                      </a:xfrm>
                      <a:prstGeom prst="roundRect">
                        <a:avLst/>
                      </a:prstGeom>
                      <a:noFill/>
                      <a:ln>
                        <a:noFill/>
                      </a:ln>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a:endParaRPr lang="en-GB" sz="1400" dirty="0" smtClean="0"/>
                        </a:p>
                        <a:p>
                          <a:pPr lvl="0" algn="ctr"/>
                          <a:r>
                            <a:rPr lang="en-GB" sz="1400" dirty="0" smtClean="0"/>
                            <a:t>Conversion of TiO</a:t>
                          </a:r>
                          <a:r>
                            <a:rPr lang="en-GB" sz="1400" baseline="-25000" dirty="0" smtClean="0"/>
                            <a:t>2 </a:t>
                          </a:r>
                          <a:r>
                            <a:rPr lang="en-GB" sz="1400" baseline="0" dirty="0" smtClean="0"/>
                            <a:t>to TiO</a:t>
                          </a:r>
                          <a:r>
                            <a:rPr lang="en-GB" sz="1400" baseline="-25000" dirty="0" smtClean="0"/>
                            <a:t>2</a:t>
                          </a:r>
                          <a:r>
                            <a:rPr lang="en-GB" sz="1400" baseline="0" dirty="0" smtClean="0"/>
                            <a:t>-anatase phase</a:t>
                          </a:r>
                        </a:p>
                        <a:p>
                          <a:pPr algn="ctr"/>
                          <a:endParaRPr lang="en-GB" sz="1400" dirty="0"/>
                        </a:p>
                      </a:txBody>
                      <a:useSpRect/>
                    </a:txSp>
                    <a:style>
                      <a:lnRef idx="2">
                        <a:schemeClr val="accent1">
                          <a:shade val="50000"/>
                        </a:schemeClr>
                      </a:lnRef>
                      <a:fillRef idx="1">
                        <a:schemeClr val="accent1"/>
                      </a:fillRef>
                      <a:effectRef idx="0">
                        <a:schemeClr val="accent1"/>
                      </a:effectRef>
                      <a:fontRef idx="minor">
                        <a:schemeClr val="lt1"/>
                      </a:fontRef>
                    </a:style>
                  </a:sp>
                  <a:pic>
                    <a:nvPicPr>
                      <a:cNvPr id="20" name="Picture 11" descr="C:\Dokumente und Einstellungen\Viktoria\Eigene Dateien\Downloads\TNT_results\TNT_results\2017_Final\4.BMP"/>
                      <a:cNvPicPr>
                        <a:picLocks noChangeAspect="1" noChangeArrowheads="1"/>
                      </a:cNvPicPr>
                    </a:nvPicPr>
                    <a:blipFill>
                      <a:blip r:embed="rId13" cstate="print"/>
                      <a:srcRect/>
                      <a:stretch>
                        <a:fillRect/>
                      </a:stretch>
                    </a:blipFill>
                    <a:spPr bwMode="auto">
                      <a:xfrm>
                        <a:off x="2331753" y="3140968"/>
                        <a:ext cx="1664183" cy="936104"/>
                      </a:xfrm>
                      <a:prstGeom prst="rect">
                        <a:avLst/>
                      </a:prstGeom>
                      <a:noFill/>
                    </a:spPr>
                  </a:pic>
                  <a:sp>
                    <a:nvSpPr>
                      <a:cNvPr id="23" name="Abgerundetes Rechteck 22"/>
                      <a:cNvSpPr/>
                    </a:nvSpPr>
                    <a:spPr>
                      <a:xfrm>
                        <a:off x="4860208" y="620688"/>
                        <a:ext cx="1584000" cy="360040"/>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Selenium</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pic>
                    <a:nvPicPr>
                      <a:cNvPr id="15363" name="Picture 3" descr="C:\Dokumente und Einstellungen\Viktoria\Eigene Dateien\Downloads\AW__REM_Untersuchungen(2)\DV611.tif"/>
                      <a:cNvPicPr>
                        <a:picLocks noChangeAspect="1" noChangeArrowheads="1"/>
                      </a:cNvPicPr>
                    </a:nvPicPr>
                    <a:blipFill>
                      <a:blip r:embed="rId14" cstate="print"/>
                      <a:srcRect/>
                      <a:stretch>
                        <a:fillRect/>
                      </a:stretch>
                    </a:blipFill>
                    <a:spPr bwMode="auto">
                      <a:xfrm>
                        <a:off x="5052192" y="2060952"/>
                        <a:ext cx="1248000" cy="936000"/>
                      </a:xfrm>
                      <a:prstGeom prst="rect">
                        <a:avLst/>
                      </a:prstGeom>
                      <a:noFill/>
                    </a:spPr>
                  </a:pic>
                  <a:pic>
                    <a:nvPicPr>
                      <a:cNvPr id="28" name="Picture 3"/>
                      <a:cNvPicPr>
                        <a:picLocks noChangeAspect="1" noChangeArrowheads="1"/>
                      </a:cNvPicPr>
                    </a:nvPicPr>
                    <a:blipFill>
                      <a:blip r:embed="rId15" cstate="print"/>
                      <a:srcRect/>
                      <a:stretch>
                        <a:fillRect/>
                      </a:stretch>
                    </a:blipFill>
                    <a:spPr bwMode="auto">
                      <a:xfrm>
                        <a:off x="5052192" y="1052840"/>
                        <a:ext cx="1248000" cy="936000"/>
                      </a:xfrm>
                      <a:prstGeom prst="rect">
                        <a:avLst/>
                      </a:prstGeom>
                      <a:noFill/>
                      <a:ln w="9525">
                        <a:noFill/>
                        <a:miter lim="800000"/>
                        <a:headEnd/>
                        <a:tailEnd/>
                      </a:ln>
                    </a:spPr>
                  </a:pic>
                  <a:sp>
                    <a:nvSpPr>
                      <a:cNvPr id="30" name="Abgerundetes Rechteck 29"/>
                      <a:cNvSpPr/>
                    </a:nvSpPr>
                    <a:spPr>
                      <a:xfrm>
                        <a:off x="6683919" y="3068960"/>
                        <a:ext cx="1584176" cy="360000"/>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Cu</a:t>
                          </a:r>
                          <a:r>
                            <a:rPr lang="en-GB" baseline="-25000" dirty="0" smtClean="0"/>
                            <a:t>2</a:t>
                          </a:r>
                          <a:r>
                            <a:rPr lang="en-GB" dirty="0" smtClean="0"/>
                            <a:t>Se</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pic>
                    <a:nvPicPr>
                      <a:cNvPr id="31" name="Picture 4" descr="C:\Dokumente und Einstellungen\Viktoria\Eigene Dateien\Downloads\TNT_results\TNT_results\2017_Final\TNT annealed + Cu-Se_full intensity.BMP"/>
                      <a:cNvPicPr>
                        <a:picLocks noChangeAspect="1" noChangeArrowheads="1"/>
                      </a:cNvPicPr>
                    </a:nvPicPr>
                    <a:blipFill>
                      <a:blip r:embed="rId16" cstate="print"/>
                      <a:srcRect/>
                      <a:stretch>
                        <a:fillRect/>
                      </a:stretch>
                    </a:blipFill>
                    <a:spPr bwMode="auto">
                      <a:xfrm>
                        <a:off x="6660232" y="4482216"/>
                        <a:ext cx="1584000" cy="891000"/>
                      </a:xfrm>
                      <a:prstGeom prst="rect">
                        <a:avLst/>
                      </a:prstGeom>
                      <a:noFill/>
                    </a:spPr>
                  </a:pic>
                  <a:pic>
                    <a:nvPicPr>
                      <a:cNvPr id="32" name="Picture 2" descr="C:\Dokumente und Einstellungen\Viktoria\Eigene Dateien\Downloads\Unbenannte_Nachricht\06 11_07_17 3\06 11_07_17 3\EB820.tif"/>
                      <a:cNvPicPr>
                        <a:picLocks noChangeAspect="1" noChangeArrowheads="1"/>
                      </a:cNvPicPr>
                    </a:nvPicPr>
                    <a:blipFill>
                      <a:blip r:embed="rId17" cstate="print"/>
                      <a:srcRect/>
                      <a:stretch>
                        <a:fillRect/>
                      </a:stretch>
                    </a:blipFill>
                    <a:spPr bwMode="auto">
                      <a:xfrm>
                        <a:off x="6852393" y="3501112"/>
                        <a:ext cx="1247999" cy="936000"/>
                      </a:xfrm>
                      <a:prstGeom prst="rect">
                        <a:avLst/>
                      </a:prstGeom>
                      <a:noFill/>
                    </a:spPr>
                  </a:pic>
                  <a:sp>
                    <a:nvSpPr>
                      <a:cNvPr id="33" name="Abgerundetes Rechteck 32"/>
                      <a:cNvSpPr/>
                    </a:nvSpPr>
                    <a:spPr>
                      <a:xfrm>
                        <a:off x="6660408" y="620688"/>
                        <a:ext cx="1584000" cy="360040"/>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Se-HAp</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pic>
                    <a:nvPicPr>
                      <a:cNvPr id="34" name="Picture 10" descr="C:\Dokumente und Einstellungen\Viktoria\Eigene Dateien\Downloads\TNT_results\TNT_results\2017_Final\7.BMP"/>
                      <a:cNvPicPr>
                        <a:picLocks noChangeAspect="1" noChangeArrowheads="1"/>
                      </a:cNvPicPr>
                    </a:nvPicPr>
                    <a:blipFill>
                      <a:blip r:embed="rId18" cstate="print"/>
                      <a:srcRect/>
                      <a:stretch>
                        <a:fillRect/>
                      </a:stretch>
                    </a:blipFill>
                    <a:spPr bwMode="auto">
                      <a:xfrm>
                        <a:off x="6660408" y="2033944"/>
                        <a:ext cx="1584000" cy="891000"/>
                      </a:xfrm>
                      <a:prstGeom prst="rect">
                        <a:avLst/>
                      </a:prstGeom>
                      <a:noFill/>
                    </a:spPr>
                  </a:pic>
                  <a:pic>
                    <a:nvPicPr>
                      <a:cNvPr id="35" name="Picture 9" descr="C:\Dokumente und Einstellungen\Viktoria\Desktop\18 Hr Sun 07.12.2016\18 Hr Sun 07.12.2016\28_11_16_5\DX223.tif"/>
                      <a:cNvPicPr>
                        <a:picLocks noChangeAspect="1" noChangeArrowheads="1"/>
                      </a:cNvPicPr>
                    </a:nvPicPr>
                    <a:blipFill>
                      <a:blip r:embed="rId19" cstate="print"/>
                      <a:srcRect/>
                      <a:stretch>
                        <a:fillRect/>
                      </a:stretch>
                    </a:blipFill>
                    <a:spPr bwMode="auto">
                      <a:xfrm>
                        <a:off x="6852392" y="1052736"/>
                        <a:ext cx="1248000" cy="936000"/>
                      </a:xfrm>
                      <a:prstGeom prst="rect">
                        <a:avLst/>
                      </a:prstGeom>
                      <a:noFill/>
                    </a:spPr>
                  </a:pic>
                  <a:sp>
                    <a:nvSpPr>
                      <a:cNvPr id="37" name="Abgerundetes Rechteck 36"/>
                      <a:cNvSpPr/>
                    </a:nvSpPr>
                    <a:spPr>
                      <a:xfrm>
                        <a:off x="4788024" y="188640"/>
                        <a:ext cx="3456384" cy="360000"/>
                      </a:xfrm>
                      <a:prstGeom prst="roundRect">
                        <a:avLst/>
                      </a:prstGeom>
                      <a:noFill/>
                      <a:ln>
                        <a:noFill/>
                      </a:ln>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Electrodeposition</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a:pic>
                    <a:nvPicPr>
                      <a:cNvPr id="39" name="Picture 8" descr="C:\Dokumente und Einstellungen\Viktoria\Eigene Dateien\Downloads\TNT_results\TNT_results\2017_Final\2.BMP"/>
                      <a:cNvPicPr>
                        <a:picLocks noChangeAspect="1" noChangeArrowheads="1"/>
                      </a:cNvPicPr>
                    </a:nvPicPr>
                    <a:blipFill>
                      <a:blip r:embed="rId20" cstate="print"/>
                      <a:srcRect/>
                      <a:stretch>
                        <a:fillRect/>
                      </a:stretch>
                    </a:blipFill>
                    <a:spPr bwMode="auto">
                      <a:xfrm>
                        <a:off x="4860208" y="4482217"/>
                        <a:ext cx="1584000" cy="890999"/>
                      </a:xfrm>
                      <a:prstGeom prst="rect">
                        <a:avLst/>
                      </a:prstGeom>
                      <a:noFill/>
                    </a:spPr>
                  </a:pic>
                  <a:pic>
                    <a:nvPicPr>
                      <a:cNvPr id="40" name="Picture 3" descr="C:\Dokumente und Einstellungen\Viktoria\Desktop\36 Hr Sun 05.07.2016\36 Hr Sun 05.07.2016\26 06 17 03\EA927.tif"/>
                      <a:cNvPicPr>
                        <a:picLocks noChangeAspect="1" noChangeArrowheads="1"/>
                      </a:cNvPicPr>
                    </a:nvPicPr>
                    <a:blipFill>
                      <a:blip r:embed="rId21" cstate="print"/>
                      <a:srcRect/>
                      <a:stretch>
                        <a:fillRect/>
                      </a:stretch>
                    </a:blipFill>
                    <a:spPr bwMode="auto">
                      <a:xfrm>
                        <a:off x="5052191" y="3501111"/>
                        <a:ext cx="1248001" cy="936000"/>
                      </a:xfrm>
                      <a:prstGeom prst="rect">
                        <a:avLst/>
                      </a:prstGeom>
                      <a:noFill/>
                    </a:spPr>
                  </a:pic>
                  <a:sp>
                    <a:nvSpPr>
                      <a:cNvPr id="41" name="Abgerundetes Rechteck 40"/>
                      <a:cNvSpPr/>
                    </a:nvSpPr>
                    <a:spPr>
                      <a:xfrm>
                        <a:off x="4860208" y="3069064"/>
                        <a:ext cx="1584000" cy="360040"/>
                      </a:xfrm>
                      <a:prstGeom prst="roundRect">
                        <a:avLst/>
                      </a:prstGeom>
                    </a:spPr>
                    <a:txSp>
                      <a:txBody>
                        <a:bodyPr rtlCol="0" anchor="ctr"/>
                        <a:lstStyle>
                          <a:defPPr>
                            <a:defRPr lang="de-DE"/>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dirty="0" smtClean="0"/>
                            <a:t>Ag</a:t>
                          </a:r>
                          <a:r>
                            <a:rPr lang="en-GB" baseline="-25000" dirty="0" smtClean="0"/>
                            <a:t>2</a:t>
                          </a:r>
                          <a:r>
                            <a:rPr lang="en-GB" dirty="0" smtClean="0"/>
                            <a:t>Se</a:t>
                          </a:r>
                          <a:endParaRPr lang="en-GB" dirty="0"/>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C27708" w:rsidRDefault="00C27708" w:rsidP="00EE422E">
      <w:pPr>
        <w:pStyle w:val="KeinLeerraum"/>
      </w:pPr>
    </w:p>
    <w:p w:rsidR="005973B9" w:rsidRDefault="005973B9" w:rsidP="005973B9">
      <w:pPr>
        <w:spacing w:line="204" w:lineRule="exact"/>
        <w:rPr>
          <w:rFonts w:ascii="Arial"/>
          <w:b/>
          <w:sz w:val="20"/>
        </w:rPr>
      </w:pPr>
      <w:r>
        <w:rPr>
          <w:rFonts w:ascii="Arial"/>
          <w:b/>
          <w:color w:val="BF5A14"/>
          <w:sz w:val="20"/>
        </w:rPr>
        <w:t xml:space="preserve">Recent Publications </w:t>
      </w:r>
    </w:p>
    <w:p w:rsidR="005B779F" w:rsidRPr="005B779F" w:rsidRDefault="005B779F" w:rsidP="005B779F">
      <w:pPr>
        <w:tabs>
          <w:tab w:val="left" w:pos="384"/>
        </w:tabs>
        <w:ind w:right="117"/>
        <w:rPr>
          <w:rFonts w:ascii="Calibri" w:eastAsia="Calibri" w:hAnsi="Calibri" w:cs="Calibri"/>
          <w:sz w:val="18"/>
        </w:rPr>
      </w:pPr>
      <w:r w:rsidRPr="005B779F">
        <w:rPr>
          <w:rFonts w:ascii="Calibri" w:eastAsia="Calibri" w:hAnsi="Calibri" w:cs="Calibri"/>
          <w:sz w:val="18"/>
        </w:rPr>
        <w:t>1.</w:t>
      </w:r>
      <w:r w:rsidRPr="005B779F">
        <w:rPr>
          <w:rFonts w:ascii="Calibri" w:eastAsia="Calibri" w:hAnsi="Calibri" w:cs="Calibri"/>
          <w:sz w:val="18"/>
        </w:rPr>
        <w:tab/>
      </w:r>
      <w:proofErr w:type="spellStart"/>
      <w:r w:rsidRPr="005B779F">
        <w:rPr>
          <w:rFonts w:ascii="Calibri" w:eastAsia="Calibri" w:hAnsi="Calibri" w:cs="Calibri"/>
          <w:sz w:val="18"/>
        </w:rPr>
        <w:t>Actis</w:t>
      </w:r>
      <w:proofErr w:type="spellEnd"/>
      <w:r w:rsidRPr="005B779F">
        <w:rPr>
          <w:rFonts w:ascii="Calibri" w:eastAsia="Calibri" w:hAnsi="Calibri" w:cs="Calibri"/>
          <w:sz w:val="18"/>
        </w:rPr>
        <w:t xml:space="preserve">, L., et al., Antimicrobial surfaces for craniofacial implants: </w:t>
      </w:r>
      <w:r>
        <w:rPr>
          <w:rFonts w:ascii="Calibri" w:eastAsia="Calibri" w:hAnsi="Calibri" w:cs="Calibri"/>
          <w:sz w:val="18"/>
        </w:rPr>
        <w:tab/>
      </w:r>
      <w:r w:rsidRPr="005B779F">
        <w:rPr>
          <w:rFonts w:ascii="Calibri" w:eastAsia="Calibri" w:hAnsi="Calibri" w:cs="Calibri"/>
          <w:sz w:val="18"/>
        </w:rPr>
        <w:t xml:space="preserve">state of the art. Journal of the Korean Association of Oral and </w:t>
      </w:r>
      <w:r>
        <w:rPr>
          <w:rFonts w:ascii="Calibri" w:eastAsia="Calibri" w:hAnsi="Calibri" w:cs="Calibri"/>
          <w:sz w:val="18"/>
        </w:rPr>
        <w:tab/>
      </w:r>
      <w:r w:rsidRPr="005B779F">
        <w:rPr>
          <w:rFonts w:ascii="Calibri" w:eastAsia="Calibri" w:hAnsi="Calibri" w:cs="Calibri"/>
          <w:sz w:val="18"/>
        </w:rPr>
        <w:t>Maxillofacial Surgeons, 2013. 39(2): p. 43-54.</w:t>
      </w:r>
    </w:p>
    <w:p w:rsidR="005B779F" w:rsidRPr="005B779F" w:rsidRDefault="005B779F" w:rsidP="005B779F">
      <w:pPr>
        <w:tabs>
          <w:tab w:val="left" w:pos="384"/>
        </w:tabs>
        <w:ind w:right="117"/>
        <w:rPr>
          <w:rFonts w:ascii="Calibri" w:eastAsia="Calibri" w:hAnsi="Calibri" w:cs="Calibri"/>
          <w:sz w:val="18"/>
        </w:rPr>
      </w:pPr>
      <w:r w:rsidRPr="005B779F">
        <w:rPr>
          <w:rFonts w:ascii="Calibri" w:eastAsia="Calibri" w:hAnsi="Calibri" w:cs="Calibri"/>
          <w:sz w:val="18"/>
        </w:rPr>
        <w:t>2.</w:t>
      </w:r>
      <w:r w:rsidRPr="005B779F">
        <w:rPr>
          <w:rFonts w:ascii="Calibri" w:eastAsia="Calibri" w:hAnsi="Calibri" w:cs="Calibri"/>
          <w:sz w:val="18"/>
        </w:rPr>
        <w:tab/>
        <w:t xml:space="preserve">Xu, Z., et al., Increased Mesenchymal Stem Cell Response and </w:t>
      </w:r>
      <w:r>
        <w:rPr>
          <w:rFonts w:ascii="Calibri" w:eastAsia="Calibri" w:hAnsi="Calibri" w:cs="Calibri"/>
          <w:sz w:val="18"/>
        </w:rPr>
        <w:tab/>
      </w:r>
      <w:r w:rsidRPr="005B779F">
        <w:rPr>
          <w:rFonts w:ascii="Calibri" w:eastAsia="Calibri" w:hAnsi="Calibri" w:cs="Calibri"/>
          <w:sz w:val="18"/>
        </w:rPr>
        <w:t xml:space="preserve">Decreased Staphylococcus aureus Adhesion on Titania Nanotubes </w:t>
      </w:r>
      <w:r>
        <w:rPr>
          <w:rFonts w:ascii="Calibri" w:eastAsia="Calibri" w:hAnsi="Calibri" w:cs="Calibri"/>
          <w:sz w:val="18"/>
        </w:rPr>
        <w:tab/>
      </w:r>
      <w:r w:rsidRPr="005B779F">
        <w:rPr>
          <w:rFonts w:ascii="Calibri" w:eastAsia="Calibri" w:hAnsi="Calibri" w:cs="Calibri"/>
          <w:sz w:val="18"/>
        </w:rPr>
        <w:t xml:space="preserve">without Pharmaceuticals. </w:t>
      </w:r>
      <w:proofErr w:type="spellStart"/>
      <w:r w:rsidRPr="005B779F">
        <w:rPr>
          <w:rFonts w:ascii="Calibri" w:eastAsia="Calibri" w:hAnsi="Calibri" w:cs="Calibri"/>
          <w:sz w:val="18"/>
        </w:rPr>
        <w:t>BioMed</w:t>
      </w:r>
      <w:proofErr w:type="spellEnd"/>
      <w:r w:rsidRPr="005B779F">
        <w:rPr>
          <w:rFonts w:ascii="Calibri" w:eastAsia="Calibri" w:hAnsi="Calibri" w:cs="Calibri"/>
          <w:sz w:val="18"/>
        </w:rPr>
        <w:t xml:space="preserve"> Research International, 2015. </w:t>
      </w:r>
      <w:r>
        <w:rPr>
          <w:rFonts w:ascii="Calibri" w:eastAsia="Calibri" w:hAnsi="Calibri" w:cs="Calibri"/>
          <w:sz w:val="18"/>
        </w:rPr>
        <w:tab/>
      </w:r>
      <w:r w:rsidRPr="005B779F">
        <w:rPr>
          <w:rFonts w:ascii="Calibri" w:eastAsia="Calibri" w:hAnsi="Calibri" w:cs="Calibri"/>
          <w:sz w:val="18"/>
        </w:rPr>
        <w:t>2015: p. 9.</w:t>
      </w:r>
    </w:p>
    <w:p w:rsidR="005B779F" w:rsidRPr="005B779F" w:rsidRDefault="005B779F" w:rsidP="005B779F">
      <w:pPr>
        <w:tabs>
          <w:tab w:val="left" w:pos="384"/>
        </w:tabs>
        <w:ind w:right="117"/>
        <w:rPr>
          <w:rFonts w:ascii="Calibri" w:eastAsia="Calibri" w:hAnsi="Calibri" w:cs="Calibri"/>
          <w:sz w:val="18"/>
        </w:rPr>
      </w:pPr>
      <w:r w:rsidRPr="005B779F">
        <w:rPr>
          <w:rFonts w:ascii="Calibri" w:eastAsia="Calibri" w:hAnsi="Calibri" w:cs="Calibri"/>
          <w:sz w:val="18"/>
        </w:rPr>
        <w:t>3.</w:t>
      </w:r>
      <w:r w:rsidRPr="005B779F">
        <w:rPr>
          <w:rFonts w:ascii="Calibri" w:eastAsia="Calibri" w:hAnsi="Calibri" w:cs="Calibri"/>
          <w:sz w:val="18"/>
        </w:rPr>
        <w:tab/>
      </w:r>
      <w:proofErr w:type="spellStart"/>
      <w:r w:rsidRPr="005B779F">
        <w:rPr>
          <w:rFonts w:ascii="Calibri" w:eastAsia="Calibri" w:hAnsi="Calibri" w:cs="Calibri"/>
          <w:sz w:val="18"/>
        </w:rPr>
        <w:t>Batur</w:t>
      </w:r>
      <w:proofErr w:type="spellEnd"/>
      <w:r w:rsidRPr="005B779F">
        <w:rPr>
          <w:rFonts w:ascii="Calibri" w:eastAsia="Calibri" w:hAnsi="Calibri" w:cs="Calibri"/>
          <w:sz w:val="18"/>
        </w:rPr>
        <w:t>, E., et al., Diameter of titanium nanotubes influences anti-</w:t>
      </w:r>
      <w:r>
        <w:rPr>
          <w:rFonts w:ascii="Calibri" w:eastAsia="Calibri" w:hAnsi="Calibri" w:cs="Calibri"/>
          <w:sz w:val="18"/>
        </w:rPr>
        <w:tab/>
      </w:r>
      <w:r w:rsidRPr="005B779F">
        <w:rPr>
          <w:rFonts w:ascii="Calibri" w:eastAsia="Calibri" w:hAnsi="Calibri" w:cs="Calibri"/>
          <w:sz w:val="18"/>
        </w:rPr>
        <w:t>bacterial efficacy. Nanotechnology, 2011. 22(29): p. 295102.</w:t>
      </w:r>
    </w:p>
    <w:p w:rsidR="005B779F" w:rsidRPr="005B779F" w:rsidRDefault="005B779F" w:rsidP="005B779F">
      <w:pPr>
        <w:tabs>
          <w:tab w:val="left" w:pos="384"/>
        </w:tabs>
        <w:ind w:right="117"/>
        <w:rPr>
          <w:rFonts w:ascii="Calibri" w:eastAsia="Calibri" w:hAnsi="Calibri" w:cs="Calibri"/>
          <w:sz w:val="18"/>
        </w:rPr>
      </w:pPr>
      <w:r w:rsidRPr="005B779F">
        <w:rPr>
          <w:rFonts w:ascii="Calibri" w:eastAsia="Calibri" w:hAnsi="Calibri" w:cs="Calibri"/>
          <w:sz w:val="18"/>
        </w:rPr>
        <w:t>4.</w:t>
      </w:r>
      <w:r w:rsidRPr="005B779F">
        <w:rPr>
          <w:rFonts w:ascii="Calibri" w:eastAsia="Calibri" w:hAnsi="Calibri" w:cs="Calibri"/>
          <w:sz w:val="18"/>
        </w:rPr>
        <w:tab/>
      </w:r>
      <w:proofErr w:type="spellStart"/>
      <w:r w:rsidRPr="005B779F">
        <w:rPr>
          <w:rFonts w:ascii="Calibri" w:eastAsia="Calibri" w:hAnsi="Calibri" w:cs="Calibri"/>
          <w:sz w:val="18"/>
        </w:rPr>
        <w:t>Parcharoen</w:t>
      </w:r>
      <w:proofErr w:type="spellEnd"/>
      <w:r w:rsidRPr="005B779F">
        <w:rPr>
          <w:rFonts w:ascii="Calibri" w:eastAsia="Calibri" w:hAnsi="Calibri" w:cs="Calibri"/>
          <w:sz w:val="18"/>
        </w:rPr>
        <w:t xml:space="preserve">, Y., P. </w:t>
      </w:r>
      <w:proofErr w:type="spellStart"/>
      <w:r w:rsidRPr="005B779F">
        <w:rPr>
          <w:rFonts w:ascii="Calibri" w:eastAsia="Calibri" w:hAnsi="Calibri" w:cs="Calibri"/>
          <w:sz w:val="18"/>
        </w:rPr>
        <w:t>Termsuksawad</w:t>
      </w:r>
      <w:proofErr w:type="spellEnd"/>
      <w:r w:rsidRPr="005B779F">
        <w:rPr>
          <w:rFonts w:ascii="Calibri" w:eastAsia="Calibri" w:hAnsi="Calibri" w:cs="Calibri"/>
          <w:sz w:val="18"/>
        </w:rPr>
        <w:t xml:space="preserve">, and S. </w:t>
      </w:r>
      <w:proofErr w:type="spellStart"/>
      <w:r w:rsidRPr="005B779F">
        <w:rPr>
          <w:rFonts w:ascii="Calibri" w:eastAsia="Calibri" w:hAnsi="Calibri" w:cs="Calibri"/>
          <w:sz w:val="18"/>
        </w:rPr>
        <w:t>Sirivisoot</w:t>
      </w:r>
      <w:proofErr w:type="spellEnd"/>
      <w:r w:rsidRPr="005B779F">
        <w:rPr>
          <w:rFonts w:ascii="Calibri" w:eastAsia="Calibri" w:hAnsi="Calibri" w:cs="Calibri"/>
          <w:sz w:val="18"/>
        </w:rPr>
        <w:t xml:space="preserve">, Improved </w:t>
      </w:r>
      <w:r>
        <w:rPr>
          <w:rFonts w:ascii="Calibri" w:eastAsia="Calibri" w:hAnsi="Calibri" w:cs="Calibri"/>
          <w:sz w:val="18"/>
        </w:rPr>
        <w:tab/>
      </w:r>
      <w:r w:rsidRPr="005B779F">
        <w:rPr>
          <w:rFonts w:ascii="Calibri" w:eastAsia="Calibri" w:hAnsi="Calibri" w:cs="Calibri"/>
          <w:sz w:val="18"/>
        </w:rPr>
        <w:t xml:space="preserve">Bonding Strength of Hydroxyapatite on Titanium Dioxide </w:t>
      </w:r>
      <w:r>
        <w:rPr>
          <w:rFonts w:ascii="Calibri" w:eastAsia="Calibri" w:hAnsi="Calibri" w:cs="Calibri"/>
          <w:sz w:val="18"/>
        </w:rPr>
        <w:tab/>
      </w:r>
      <w:r w:rsidRPr="005B779F">
        <w:rPr>
          <w:rFonts w:ascii="Calibri" w:eastAsia="Calibri" w:hAnsi="Calibri" w:cs="Calibri"/>
          <w:sz w:val="18"/>
        </w:rPr>
        <w:t xml:space="preserve">Nanotube Arrays following Alkaline Pretreatment for Orthopedic </w:t>
      </w:r>
      <w:r>
        <w:rPr>
          <w:rFonts w:ascii="Calibri" w:eastAsia="Calibri" w:hAnsi="Calibri" w:cs="Calibri"/>
          <w:sz w:val="18"/>
        </w:rPr>
        <w:tab/>
      </w:r>
      <w:r w:rsidRPr="005B779F">
        <w:rPr>
          <w:rFonts w:ascii="Calibri" w:eastAsia="Calibri" w:hAnsi="Calibri" w:cs="Calibri"/>
          <w:sz w:val="18"/>
        </w:rPr>
        <w:t>Implants. Journal of Nanomaterials, 2016. 2016: p. 13.</w:t>
      </w:r>
    </w:p>
    <w:p w:rsidR="005B779F" w:rsidRPr="005B779F" w:rsidRDefault="005B779F" w:rsidP="005B779F">
      <w:pPr>
        <w:tabs>
          <w:tab w:val="left" w:pos="384"/>
        </w:tabs>
        <w:ind w:right="117"/>
        <w:rPr>
          <w:rFonts w:ascii="Calibri" w:eastAsia="Calibri" w:hAnsi="Calibri" w:cs="Calibri"/>
          <w:sz w:val="18"/>
        </w:rPr>
      </w:pPr>
      <w:r w:rsidRPr="005B779F">
        <w:rPr>
          <w:rFonts w:ascii="Calibri" w:eastAsia="Calibri" w:hAnsi="Calibri" w:cs="Calibri"/>
          <w:sz w:val="18"/>
        </w:rPr>
        <w:t>5.</w:t>
      </w:r>
      <w:r w:rsidRPr="005B779F">
        <w:rPr>
          <w:rFonts w:ascii="Calibri" w:eastAsia="Calibri" w:hAnsi="Calibri" w:cs="Calibri"/>
          <w:sz w:val="18"/>
        </w:rPr>
        <w:tab/>
        <w:t xml:space="preserve">Liu, W., et al., Selenium </w:t>
      </w:r>
      <w:proofErr w:type="spellStart"/>
      <w:r w:rsidRPr="005B779F">
        <w:rPr>
          <w:rFonts w:ascii="Calibri" w:eastAsia="Calibri" w:hAnsi="Calibri" w:cs="Calibri"/>
          <w:sz w:val="18"/>
        </w:rPr>
        <w:t>nanoparticles</w:t>
      </w:r>
      <w:proofErr w:type="spellEnd"/>
      <w:r w:rsidRPr="005B779F">
        <w:rPr>
          <w:rFonts w:ascii="Calibri" w:eastAsia="Calibri" w:hAnsi="Calibri" w:cs="Calibri"/>
          <w:sz w:val="18"/>
        </w:rPr>
        <w:t xml:space="preserve"> incorporated into </w:t>
      </w:r>
      <w:proofErr w:type="spellStart"/>
      <w:r w:rsidRPr="005B779F">
        <w:rPr>
          <w:rFonts w:ascii="Calibri" w:eastAsia="Calibri" w:hAnsi="Calibri" w:cs="Calibri"/>
          <w:sz w:val="18"/>
        </w:rPr>
        <w:t>titania</w:t>
      </w:r>
      <w:proofErr w:type="spellEnd"/>
      <w:r w:rsidRPr="005B779F">
        <w:rPr>
          <w:rFonts w:ascii="Calibri" w:eastAsia="Calibri" w:hAnsi="Calibri" w:cs="Calibri"/>
          <w:sz w:val="18"/>
        </w:rPr>
        <w:t xml:space="preserve"> </w:t>
      </w:r>
      <w:r>
        <w:rPr>
          <w:rFonts w:ascii="Calibri" w:eastAsia="Calibri" w:hAnsi="Calibri" w:cs="Calibri"/>
          <w:sz w:val="18"/>
        </w:rPr>
        <w:tab/>
      </w:r>
      <w:proofErr w:type="spellStart"/>
      <w:r w:rsidRPr="005B779F">
        <w:rPr>
          <w:rFonts w:ascii="Calibri" w:eastAsia="Calibri" w:hAnsi="Calibri" w:cs="Calibri"/>
          <w:sz w:val="18"/>
        </w:rPr>
        <w:t>nanotubes</w:t>
      </w:r>
      <w:proofErr w:type="spellEnd"/>
      <w:r w:rsidRPr="005B779F">
        <w:rPr>
          <w:rFonts w:ascii="Calibri" w:eastAsia="Calibri" w:hAnsi="Calibri" w:cs="Calibri"/>
          <w:sz w:val="18"/>
        </w:rPr>
        <w:t xml:space="preserve"> inhibit bacterial growth and macrophage proliferation. </w:t>
      </w:r>
      <w:r>
        <w:rPr>
          <w:rFonts w:ascii="Calibri" w:eastAsia="Calibri" w:hAnsi="Calibri" w:cs="Calibri"/>
          <w:sz w:val="18"/>
        </w:rPr>
        <w:tab/>
      </w:r>
      <w:r w:rsidRPr="005B779F">
        <w:rPr>
          <w:rFonts w:ascii="Calibri" w:eastAsia="Calibri" w:hAnsi="Calibri" w:cs="Calibri"/>
          <w:sz w:val="18"/>
        </w:rPr>
        <w:t>Nanoscale, 2016. 8(34): p. 15783-15794.</w:t>
      </w:r>
    </w:p>
    <w:p w:rsidR="00AE3E37" w:rsidRPr="008756E6" w:rsidRDefault="005B779F" w:rsidP="005B779F">
      <w:pPr>
        <w:tabs>
          <w:tab w:val="left" w:pos="384"/>
        </w:tabs>
        <w:ind w:right="117"/>
      </w:pPr>
      <w:r w:rsidRPr="005B779F">
        <w:rPr>
          <w:rFonts w:ascii="Calibri" w:eastAsia="Calibri" w:hAnsi="Calibri" w:cs="Calibri"/>
          <w:sz w:val="18"/>
        </w:rPr>
        <w:t>6.</w:t>
      </w:r>
      <w:r w:rsidRPr="005B779F">
        <w:rPr>
          <w:rFonts w:ascii="Calibri" w:eastAsia="Calibri" w:hAnsi="Calibri" w:cs="Calibri"/>
          <w:sz w:val="18"/>
        </w:rPr>
        <w:tab/>
        <w:t xml:space="preserve">Chen, X., et al., Fabrication of selenium-deposited and </w:t>
      </w:r>
      <w:proofErr w:type="spellStart"/>
      <w:r w:rsidRPr="005B779F">
        <w:rPr>
          <w:rFonts w:ascii="Calibri" w:eastAsia="Calibri" w:hAnsi="Calibri" w:cs="Calibri"/>
          <w:sz w:val="18"/>
        </w:rPr>
        <w:t>chitosan</w:t>
      </w:r>
      <w:proofErr w:type="spellEnd"/>
      <w:r w:rsidRPr="005B779F">
        <w:rPr>
          <w:rFonts w:ascii="Calibri" w:eastAsia="Calibri" w:hAnsi="Calibri" w:cs="Calibri"/>
          <w:sz w:val="18"/>
        </w:rPr>
        <w:t>-</w:t>
      </w:r>
      <w:r>
        <w:rPr>
          <w:rFonts w:ascii="Calibri" w:eastAsia="Calibri" w:hAnsi="Calibri" w:cs="Calibri"/>
          <w:sz w:val="18"/>
        </w:rPr>
        <w:tab/>
      </w:r>
      <w:r w:rsidRPr="005B779F">
        <w:rPr>
          <w:rFonts w:ascii="Calibri" w:eastAsia="Calibri" w:hAnsi="Calibri" w:cs="Calibri"/>
          <w:sz w:val="18"/>
        </w:rPr>
        <w:t xml:space="preserve">coated </w:t>
      </w:r>
      <w:proofErr w:type="spellStart"/>
      <w:r w:rsidRPr="005B779F">
        <w:rPr>
          <w:rFonts w:ascii="Calibri" w:eastAsia="Calibri" w:hAnsi="Calibri" w:cs="Calibri"/>
          <w:sz w:val="18"/>
        </w:rPr>
        <w:t>titania</w:t>
      </w:r>
      <w:proofErr w:type="spellEnd"/>
      <w:r w:rsidRPr="005B779F">
        <w:rPr>
          <w:rFonts w:ascii="Calibri" w:eastAsia="Calibri" w:hAnsi="Calibri" w:cs="Calibri"/>
          <w:sz w:val="18"/>
        </w:rPr>
        <w:t xml:space="preserve"> </w:t>
      </w:r>
      <w:proofErr w:type="spellStart"/>
      <w:r w:rsidRPr="005B779F">
        <w:rPr>
          <w:rFonts w:ascii="Calibri" w:eastAsia="Calibri" w:hAnsi="Calibri" w:cs="Calibri"/>
          <w:sz w:val="18"/>
        </w:rPr>
        <w:t>nanotubes</w:t>
      </w:r>
      <w:proofErr w:type="spellEnd"/>
      <w:r w:rsidRPr="005B779F">
        <w:rPr>
          <w:rFonts w:ascii="Calibri" w:eastAsia="Calibri" w:hAnsi="Calibri" w:cs="Calibri"/>
          <w:sz w:val="18"/>
        </w:rPr>
        <w:t xml:space="preserve"> with anticancer and antibacterial </w:t>
      </w:r>
      <w:r>
        <w:rPr>
          <w:rFonts w:ascii="Calibri" w:eastAsia="Calibri" w:hAnsi="Calibri" w:cs="Calibri"/>
          <w:sz w:val="18"/>
        </w:rPr>
        <w:tab/>
      </w:r>
      <w:r w:rsidRPr="005B779F">
        <w:rPr>
          <w:rFonts w:ascii="Calibri" w:eastAsia="Calibri" w:hAnsi="Calibri" w:cs="Calibri"/>
          <w:sz w:val="18"/>
        </w:rPr>
        <w:t xml:space="preserve">properties. Colloids and Surfaces B: </w:t>
      </w:r>
      <w:proofErr w:type="spellStart"/>
      <w:r w:rsidRPr="005B779F">
        <w:rPr>
          <w:rFonts w:ascii="Calibri" w:eastAsia="Calibri" w:hAnsi="Calibri" w:cs="Calibri"/>
          <w:sz w:val="18"/>
        </w:rPr>
        <w:t>Biointerfaces</w:t>
      </w:r>
      <w:proofErr w:type="spellEnd"/>
      <w:r w:rsidRPr="005B779F">
        <w:rPr>
          <w:rFonts w:ascii="Calibri" w:eastAsia="Calibri" w:hAnsi="Calibri" w:cs="Calibri"/>
          <w:sz w:val="18"/>
        </w:rPr>
        <w:t xml:space="preserve">, 2013. 103: p. </w:t>
      </w:r>
      <w:r>
        <w:rPr>
          <w:rFonts w:ascii="Calibri" w:eastAsia="Calibri" w:hAnsi="Calibri" w:cs="Calibri"/>
          <w:sz w:val="18"/>
        </w:rPr>
        <w:tab/>
      </w:r>
      <w:r w:rsidRPr="005B779F">
        <w:rPr>
          <w:rFonts w:ascii="Calibri" w:eastAsia="Calibri" w:hAnsi="Calibri" w:cs="Calibri"/>
          <w:sz w:val="18"/>
        </w:rPr>
        <w:t>149-157.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krper"/>
        <w:rPr>
          <w:rFonts w:ascii="Calibri"/>
          <w:sz w:val="20"/>
        </w:rPr>
      </w:pPr>
    </w:p>
    <w:p w:rsidR="00AE3E37" w:rsidRDefault="00D42ED4">
      <w:pPr>
        <w:pStyle w:val="Textkrper"/>
        <w:spacing w:line="40" w:lineRule="exact"/>
        <w:ind w:left="2202"/>
        <w:rPr>
          <w:rFonts w:ascii="Calibri"/>
          <w:sz w:val="4"/>
        </w:rPr>
      </w:pPr>
      <w:r w:rsidRPr="00D42ED4">
        <w:rPr>
          <w:rFonts w:ascii="Calibri"/>
          <w:noProof/>
          <w:sz w:val="4"/>
          <w:lang w:val="en-IN" w:eastAsia="en-IN"/>
        </w:rPr>
      </w:r>
      <w:r w:rsidRPr="00D42ED4">
        <w:rPr>
          <w:rFonts w:ascii="Calibri"/>
          <w:noProof/>
          <w:sz w:val="4"/>
          <w:lang w:val="en-IN" w:eastAsia="en-IN"/>
        </w:rPr>
        <w:pict>
          <v:group id="Group 4" o:spid="_x0000_s1029"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C617B" w:rsidRDefault="008756E6" w:rsidP="008C617B">
      <w:pPr>
        <w:spacing w:before="92"/>
        <w:ind w:right="4234"/>
        <w:rPr>
          <w:rFonts w:ascii="Arial"/>
        </w:rPr>
      </w:pPr>
      <w:r>
        <w:rPr>
          <w:noProof/>
        </w:rPr>
        <w:t xml:space="preserve">         </w:t>
      </w:r>
      <w:r w:rsidR="002C4EA1">
        <w:rPr>
          <w:rFonts w:ascii="Minion Pro"/>
          <w:noProof/>
          <w:sz w:val="26"/>
          <w:lang w:val="de-AT" w:eastAsia="de-AT"/>
        </w:rPr>
        <w:drawing>
          <wp:inline distT="0" distB="0" distL="0" distR="0">
            <wp:extent cx="558000" cy="835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000" cy="835200"/>
                    </a:xfrm>
                    <a:prstGeom prst="rect">
                      <a:avLst/>
                    </a:prstGeom>
                    <a:noFill/>
                    <a:ln>
                      <a:noFill/>
                    </a:ln>
                  </pic:spPr>
                </pic:pic>
              </a:graphicData>
            </a:graphic>
          </wp:inline>
        </w:drawing>
      </w:r>
      <w:r>
        <w:rPr>
          <w:noProof/>
        </w:rPr>
        <w:t xml:space="preserve">     </w:t>
      </w:r>
      <w:r w:rsidR="00A9710C">
        <w:rPr>
          <w:rFonts w:ascii="Arial"/>
          <w:color w:val="BF5A14"/>
        </w:rPr>
        <w:t>Biography</w:t>
      </w:r>
    </w:p>
    <w:p w:rsidR="008C617B" w:rsidRPr="004237EF" w:rsidRDefault="00354AC6" w:rsidP="004237EF">
      <w:pPr>
        <w:spacing w:before="41" w:line="154" w:lineRule="exact"/>
        <w:ind w:left="213" w:right="231"/>
        <w:jc w:val="both"/>
        <w:rPr>
          <w:rFonts w:ascii="Arial"/>
          <w:sz w:val="14"/>
        </w:rPr>
      </w:pPr>
      <w:proofErr w:type="spellStart"/>
      <w:r>
        <w:rPr>
          <w:rFonts w:ascii="Arial"/>
          <w:sz w:val="14"/>
        </w:rPr>
        <w:t>Jie</w:t>
      </w:r>
      <w:proofErr w:type="spellEnd"/>
      <w:r>
        <w:rPr>
          <w:rFonts w:ascii="Arial"/>
          <w:sz w:val="14"/>
        </w:rPr>
        <w:t xml:space="preserve"> Sun is a PhD student at the technical university of Vienna working at the Institute of </w:t>
      </w:r>
      <w:r w:rsidRPr="00354AC6">
        <w:rPr>
          <w:rFonts w:ascii="Arial"/>
          <w:sz w:val="14"/>
        </w:rPr>
        <w:t>Chemical Technologies and Analytics</w:t>
      </w:r>
      <w:r>
        <w:rPr>
          <w:rFonts w:ascii="Arial"/>
          <w:sz w:val="14"/>
        </w:rPr>
        <w:t xml:space="preserve">. He obtained the Master </w:t>
      </w:r>
      <w:r w:rsidR="00EE0121">
        <w:rPr>
          <w:rFonts w:ascii="Arial"/>
          <w:sz w:val="14"/>
        </w:rPr>
        <w:t xml:space="preserve">of Science </w:t>
      </w:r>
      <w:r>
        <w:rPr>
          <w:rFonts w:ascii="Arial"/>
          <w:sz w:val="14"/>
        </w:rPr>
        <w:t>degree in chemistry</w:t>
      </w:r>
      <w:r w:rsidR="00EE0121">
        <w:rPr>
          <w:rFonts w:ascii="Arial"/>
          <w:sz w:val="14"/>
        </w:rPr>
        <w:t>.</w:t>
      </w:r>
      <w:r>
        <w:rPr>
          <w:rFonts w:ascii="Arial"/>
          <w:sz w:val="14"/>
        </w:rPr>
        <w:t xml:space="preserve"> </w:t>
      </w:r>
      <w:r w:rsidR="00EE0121">
        <w:rPr>
          <w:rFonts w:ascii="Arial"/>
          <w:sz w:val="14"/>
        </w:rPr>
        <w:t>His research focuses on electrochemical surface modification</w:t>
      </w:r>
      <w:r w:rsidR="002C4EA1">
        <w:rPr>
          <w:rFonts w:ascii="Arial"/>
          <w:sz w:val="14"/>
        </w:rPr>
        <w:t xml:space="preserve"> of medical implants based on titanium</w:t>
      </w:r>
      <w:r w:rsidR="00EE0121">
        <w:rPr>
          <w:rFonts w:ascii="Arial"/>
          <w:sz w:val="14"/>
        </w:rPr>
        <w:t>.</w:t>
      </w:r>
    </w:p>
    <w:p w:rsidR="004237EF" w:rsidRDefault="00A9710C" w:rsidP="004237EF">
      <w:pPr>
        <w:spacing w:before="62"/>
        <w:ind w:left="4217" w:right="4235"/>
        <w:jc w:val="center"/>
        <w:rPr>
          <w:rStyle w:val="Hyperlink"/>
          <w:rFonts w:ascii="Arial"/>
          <w:sz w:val="14"/>
        </w:rPr>
      </w:pPr>
      <w:r>
        <w:rPr>
          <w:rFonts w:ascii="Arial"/>
          <w:sz w:val="14"/>
        </w:rPr>
        <w:t xml:space="preserve">Email: </w:t>
      </w:r>
      <w:hyperlink r:id="rId23" w:history="1">
        <w:r w:rsidR="008C617B" w:rsidRPr="001B0C14">
          <w:rPr>
            <w:rStyle w:val="Hyperlink"/>
            <w:rFonts w:ascii="Arial"/>
            <w:sz w:val="14"/>
          </w:rPr>
          <w:t>jie.sun@cest.at</w:t>
        </w:r>
      </w:hyperlink>
    </w:p>
    <w:p w:rsidR="00AE3E37" w:rsidRPr="004237EF" w:rsidRDefault="00D42ED4" w:rsidP="004237EF">
      <w:pPr>
        <w:spacing w:before="62"/>
        <w:ind w:left="4217" w:right="4235"/>
        <w:jc w:val="center"/>
        <w:rPr>
          <w:rFonts w:ascii="Arial"/>
          <w:color w:val="0000FF" w:themeColor="hyperlink"/>
          <w:sz w:val="14"/>
          <w:u w:val="single"/>
        </w:rPr>
      </w:pPr>
      <w:r w:rsidRPr="00D42ED4">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8E1F18" w:rsidRPr="009E1722" w:rsidRDefault="008E1F18" w:rsidP="008E1F18">
      <w:pPr>
        <w:spacing w:before="39"/>
        <w:ind w:left="100"/>
        <w:rPr>
          <w:rFonts w:ascii="Minion Pro"/>
          <w:b/>
          <w:sz w:val="20"/>
        </w:rPr>
      </w:pPr>
      <w:r w:rsidRPr="009E1722">
        <w:rPr>
          <w:rFonts w:ascii="Minion Pro"/>
          <w:b/>
          <w:sz w:val="20"/>
        </w:rPr>
        <w:t>Acknowledgement</w:t>
      </w:r>
    </w:p>
    <w:p w:rsidR="008E1F18" w:rsidRPr="004D2FD7" w:rsidRDefault="008E1F18" w:rsidP="008E1F18">
      <w:pPr>
        <w:spacing w:before="39"/>
        <w:ind w:left="100"/>
        <w:rPr>
          <w:rFonts w:ascii="Minion Pro"/>
          <w:b/>
          <w:sz w:val="20"/>
        </w:rPr>
        <w:sectPr w:rsidR="008E1F18" w:rsidRPr="004D2FD7">
          <w:type w:val="continuous"/>
          <w:pgSz w:w="11910" w:h="16840"/>
          <w:pgMar w:top="1740" w:right="600" w:bottom="840" w:left="620" w:header="720" w:footer="720" w:gutter="0"/>
          <w:cols w:space="720"/>
        </w:sectPr>
      </w:pPr>
    </w:p>
    <w:p w:rsidR="008E1F18" w:rsidRPr="002C4EA1" w:rsidRDefault="008E1F18" w:rsidP="008E1F18">
      <w:pPr>
        <w:pStyle w:val="Textkrper"/>
        <w:spacing w:before="3"/>
        <w:ind w:left="142"/>
        <w:jc w:val="both"/>
        <w:rPr>
          <w:rFonts w:ascii="Arial" w:hAnsi="Arial" w:cs="Arial"/>
          <w:sz w:val="14"/>
        </w:rPr>
      </w:pPr>
      <w:r w:rsidRPr="009E1722">
        <w:rPr>
          <w:rFonts w:ascii="Arial" w:hAnsi="Arial" w:cs="Arial"/>
          <w:sz w:val="14"/>
        </w:rPr>
        <w:lastRenderedPageBreak/>
        <w:t xml:space="preserve">These investigations were performed with the </w:t>
      </w:r>
      <w:r>
        <w:rPr>
          <w:rFonts w:ascii="Arial" w:hAnsi="Arial" w:cs="Arial"/>
          <w:sz w:val="14"/>
        </w:rPr>
        <w:t xml:space="preserve">support of the Austrian Science </w:t>
      </w:r>
      <w:r w:rsidRPr="009E1722">
        <w:rPr>
          <w:rFonts w:ascii="Arial" w:hAnsi="Arial" w:cs="Arial"/>
          <w:sz w:val="14"/>
        </w:rPr>
        <w:t>Foundation FFG and the government of Lower</w:t>
      </w:r>
      <w:r w:rsidR="005B6470">
        <w:rPr>
          <w:rFonts w:ascii="Arial" w:hAnsi="Arial" w:cs="Arial"/>
          <w:sz w:val="14"/>
        </w:rPr>
        <w:t xml:space="preserve"> and Upper</w:t>
      </w:r>
      <w:r w:rsidRPr="009E1722">
        <w:rPr>
          <w:rFonts w:ascii="Arial" w:hAnsi="Arial" w:cs="Arial"/>
          <w:sz w:val="14"/>
        </w:rPr>
        <w:t xml:space="preserve"> Austria in the frame of the COMET program.</w:t>
      </w:r>
    </w:p>
    <w:p w:rsidR="00AE3E37" w:rsidRDefault="00AE3E37">
      <w:pPr>
        <w:pStyle w:val="Textkrper"/>
        <w:rPr>
          <w:rFonts w:ascii="Arial"/>
          <w:sz w:val="20"/>
        </w:rPr>
      </w:pPr>
    </w:p>
    <w:sectPr w:rsidR="00AE3E37" w:rsidSect="008E1F18">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FF9" w:rsidRDefault="002D3FF9">
      <w:r>
        <w:separator/>
      </w:r>
    </w:p>
  </w:endnote>
  <w:endnote w:type="continuationSeparator" w:id="0">
    <w:p w:rsidR="002D3FF9" w:rsidRDefault="002D3F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42ED4">
    <w:pPr>
      <w:pStyle w:val="Textkrper"/>
      <w:spacing w:line="14" w:lineRule="auto"/>
      <w:rPr>
        <w:sz w:val="20"/>
      </w:rPr>
    </w:pPr>
    <w:r w:rsidRPr="00D42ED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42ED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42ED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FF9" w:rsidRDefault="002D3FF9">
      <w:r>
        <w:separator/>
      </w:r>
    </w:p>
  </w:footnote>
  <w:footnote w:type="continuationSeparator" w:id="0">
    <w:p w:rsidR="002D3FF9" w:rsidRDefault="002D3F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42ED4">
    <w:pPr>
      <w:pStyle w:val="Textkrper"/>
      <w:spacing w:line="14" w:lineRule="auto"/>
      <w:rPr>
        <w:sz w:val="20"/>
      </w:rPr>
    </w:pPr>
    <w:r w:rsidRPr="00D42ED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42ED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4104">
      <o:colormenu v:ext="edit" fillcolor="none [3204]" strokecolor="none [3212]"/>
    </o:shapedefaults>
    <o:shapelayout v:ext="edit">
      <o:idmap v:ext="edit" data="4"/>
    </o:shapelayout>
  </w:hdrShapeDefaults>
  <w:footnotePr>
    <w:footnote w:id="-1"/>
    <w:footnote w:id="0"/>
  </w:footnotePr>
  <w:endnotePr>
    <w:endnote w:id="-1"/>
    <w:endnote w:id="0"/>
  </w:endnotePr>
  <w:compat>
    <w:ulTrailSpace/>
  </w:compat>
  <w:rsids>
    <w:rsidRoot w:val="00AE3E37"/>
    <w:rsid w:val="0000179E"/>
    <w:rsid w:val="000E2911"/>
    <w:rsid w:val="001263DF"/>
    <w:rsid w:val="001B6274"/>
    <w:rsid w:val="00206BB6"/>
    <w:rsid w:val="00292ED9"/>
    <w:rsid w:val="002B62DD"/>
    <w:rsid w:val="002C4EA1"/>
    <w:rsid w:val="002D3FF9"/>
    <w:rsid w:val="00354AC6"/>
    <w:rsid w:val="003C04E0"/>
    <w:rsid w:val="003C0D6D"/>
    <w:rsid w:val="00404E5B"/>
    <w:rsid w:val="0040715C"/>
    <w:rsid w:val="00414F7B"/>
    <w:rsid w:val="004237EF"/>
    <w:rsid w:val="004355DC"/>
    <w:rsid w:val="004749B4"/>
    <w:rsid w:val="00494130"/>
    <w:rsid w:val="004D2FD7"/>
    <w:rsid w:val="004F3523"/>
    <w:rsid w:val="005973B9"/>
    <w:rsid w:val="005B3A56"/>
    <w:rsid w:val="005B6470"/>
    <w:rsid w:val="005B779F"/>
    <w:rsid w:val="005C4CE7"/>
    <w:rsid w:val="006060CE"/>
    <w:rsid w:val="0063497F"/>
    <w:rsid w:val="006D0733"/>
    <w:rsid w:val="00723F0B"/>
    <w:rsid w:val="00793CDE"/>
    <w:rsid w:val="007C71D2"/>
    <w:rsid w:val="00873DF0"/>
    <w:rsid w:val="008756E6"/>
    <w:rsid w:val="008809B5"/>
    <w:rsid w:val="008B39F4"/>
    <w:rsid w:val="008C617B"/>
    <w:rsid w:val="008E1F18"/>
    <w:rsid w:val="00955E40"/>
    <w:rsid w:val="009842E4"/>
    <w:rsid w:val="009B2D44"/>
    <w:rsid w:val="009E1722"/>
    <w:rsid w:val="00A07E82"/>
    <w:rsid w:val="00A14906"/>
    <w:rsid w:val="00A468B4"/>
    <w:rsid w:val="00A9710C"/>
    <w:rsid w:val="00AE235C"/>
    <w:rsid w:val="00AE3E37"/>
    <w:rsid w:val="00AE45AF"/>
    <w:rsid w:val="00AF534F"/>
    <w:rsid w:val="00B21A57"/>
    <w:rsid w:val="00C27708"/>
    <w:rsid w:val="00C33602"/>
    <w:rsid w:val="00C9149C"/>
    <w:rsid w:val="00CD6F55"/>
    <w:rsid w:val="00CF2423"/>
    <w:rsid w:val="00D42ED4"/>
    <w:rsid w:val="00DE3104"/>
    <w:rsid w:val="00E95300"/>
    <w:rsid w:val="00EE0121"/>
    <w:rsid w:val="00EE422E"/>
    <w:rsid w:val="00EF21A0"/>
    <w:rsid w:val="00F55401"/>
    <w:rsid w:val="00F72EEA"/>
    <w:rsid w:val="00F84CAE"/>
    <w:rsid w:val="00F85728"/>
  </w:rsids>
  <m:mathPr>
    <m:mathFont m:val="Cambria Math"/>
    <m:brkBin m:val="before"/>
    <m:brkBinSub m:val="--"/>
    <m:smallFrac/>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4104">
      <o:colormenu v:ext="edit" fillcolor="none [3204]"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KeinLeerraum">
    <w:name w:val="No Spacing"/>
    <w:uiPriority w:val="1"/>
    <w:qFormat/>
    <w:rsid w:val="00EE422E"/>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4251577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tiff"/><Relationship Id="rId7" Type="http://schemas.openxmlformats.org/officeDocument/2006/relationships/image" Target="media/image1.tiff"/><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mailto:jie.sun@cest.at" TargetMode="External"/><Relationship Id="rId10" Type="http://schemas.openxmlformats.org/officeDocument/2006/relationships/header" Target="header1.xml"/><Relationship Id="rId19" Type="http://schemas.openxmlformats.org/officeDocument/2006/relationships/image" Target="media/image11.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tiff"/><Relationship Id="rId22"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596</Words>
  <Characters>3755</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blub</cp:lastModifiedBy>
  <cp:revision>18</cp:revision>
  <cp:lastPrinted>2017-08-24T13:37:00Z</cp:lastPrinted>
  <dcterms:created xsi:type="dcterms:W3CDTF">2016-09-01T08:55:00Z</dcterms:created>
  <dcterms:modified xsi:type="dcterms:W3CDTF">2017-08-25T10:31:00Z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