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a3"/>
        <w:rPr>
          <w:rFonts w:ascii="Times New Roman"/>
          <w:sz w:val="20"/>
        </w:rPr>
      </w:pPr>
    </w:p>
    <w:p w:rsidR="00AE3E37" w:rsidRDefault="00B24943">
      <w:pPr>
        <w:pStyle w:val="1"/>
        <w:spacing w:before="170"/>
      </w:pPr>
      <w:r>
        <w:rPr>
          <w:color w:val="337AB7"/>
          <w:lang w:val="en-GB"/>
        </w:rPr>
        <w:t xml:space="preserve">Microwave synthesis of </w:t>
      </w:r>
      <w:r w:rsidRPr="00B24943">
        <w:rPr>
          <w:color w:val="337AB7"/>
          <w:lang w:val="en-GB"/>
        </w:rPr>
        <w:t xml:space="preserve">Near Infrared Type II </w:t>
      </w:r>
      <w:r>
        <w:rPr>
          <w:color w:val="337AB7"/>
          <w:lang w:val="en-GB"/>
        </w:rPr>
        <w:t>water-soluble</w:t>
      </w:r>
      <w:r w:rsidRPr="00B24943">
        <w:rPr>
          <w:color w:val="337AB7"/>
          <w:lang w:val="en-GB"/>
        </w:rPr>
        <w:t xml:space="preserve"> Lead </w:t>
      </w:r>
      <w:proofErr w:type="spellStart"/>
      <w:r w:rsidRPr="00B24943">
        <w:rPr>
          <w:color w:val="337AB7"/>
          <w:lang w:val="en-GB"/>
        </w:rPr>
        <w:t>Sulfide</w:t>
      </w:r>
      <w:proofErr w:type="spellEnd"/>
      <w:r w:rsidRPr="00B24943">
        <w:rPr>
          <w:color w:val="337AB7"/>
          <w:lang w:val="en-GB"/>
        </w:rPr>
        <w:t xml:space="preserve"> Quantum Dots </w:t>
      </w:r>
      <w:proofErr w:type="gramStart"/>
      <w:r w:rsidRPr="00B24943">
        <w:rPr>
          <w:color w:val="337AB7"/>
          <w:lang w:val="en-GB"/>
        </w:rPr>
        <w:t>For</w:t>
      </w:r>
      <w:proofErr w:type="gramEnd"/>
      <w:r>
        <w:rPr>
          <w:color w:val="337AB7"/>
          <w:lang w:val="en-GB"/>
        </w:rPr>
        <w:t xml:space="preserve"> in vivo </w:t>
      </w:r>
      <w:proofErr w:type="spellStart"/>
      <w:r w:rsidRPr="00B24943">
        <w:rPr>
          <w:color w:val="337AB7"/>
          <w:lang w:val="en-GB"/>
        </w:rPr>
        <w:t>Bioimaging</w:t>
      </w:r>
      <w:proofErr w:type="spellEnd"/>
      <w:r w:rsidRPr="00B24943">
        <w:rPr>
          <w:color w:val="337AB7"/>
          <w:lang w:val="en-GB"/>
        </w:rPr>
        <w:t xml:space="preserve"> </w:t>
      </w:r>
    </w:p>
    <w:p w:rsidR="00B24943" w:rsidRDefault="00B24943" w:rsidP="00B24943">
      <w:pPr>
        <w:pStyle w:val="a3"/>
        <w:spacing w:before="73" w:line="198" w:lineRule="exact"/>
        <w:ind w:left="100" w:right="5967"/>
        <w:jc w:val="both"/>
        <w:rPr>
          <w:rFonts w:ascii="Arial"/>
        </w:rPr>
      </w:pPr>
      <w:r>
        <w:rPr>
          <w:rFonts w:ascii="Arial"/>
        </w:rPr>
        <w:t xml:space="preserve">Jun Chen, </w:t>
      </w:r>
      <w:r w:rsidR="00A9710C">
        <w:rPr>
          <w:rFonts w:ascii="Arial"/>
        </w:rPr>
        <w:t>PhD,</w:t>
      </w:r>
      <w:r w:rsidRPr="00B24943">
        <w:t xml:space="preserve"> </w:t>
      </w:r>
      <w:r w:rsidRPr="00B24943">
        <w:rPr>
          <w:rFonts w:ascii="Arial"/>
        </w:rPr>
        <w:t xml:space="preserve">Department of Orthopedic Sports Medicine, </w:t>
      </w:r>
      <w:proofErr w:type="spellStart"/>
      <w:r w:rsidRPr="00B24943">
        <w:rPr>
          <w:rFonts w:ascii="Arial"/>
        </w:rPr>
        <w:t>Huashan</w:t>
      </w:r>
      <w:proofErr w:type="spellEnd"/>
      <w:r w:rsidRPr="00B24943">
        <w:rPr>
          <w:rFonts w:ascii="Arial"/>
        </w:rPr>
        <w:t xml:space="preserve"> Hospital, </w:t>
      </w:r>
      <w:proofErr w:type="spellStart"/>
      <w:r w:rsidRPr="00B24943">
        <w:rPr>
          <w:rFonts w:ascii="Arial"/>
        </w:rPr>
        <w:t>Fudan</w:t>
      </w:r>
      <w:proofErr w:type="spellEnd"/>
      <w:r w:rsidRPr="00B24943">
        <w:rPr>
          <w:rFonts w:ascii="Arial"/>
        </w:rPr>
        <w:t xml:space="preserve"> University, Shanghai 200040, China</w:t>
      </w:r>
      <w:r w:rsidR="00A9710C">
        <w:rPr>
          <w:rFonts w:ascii="Arial"/>
        </w:rPr>
        <w:t xml:space="preserve"> </w:t>
      </w:r>
    </w:p>
    <w:p w:rsidR="00AE3E37" w:rsidRPr="00B24943" w:rsidRDefault="00B24943">
      <w:pPr>
        <w:pStyle w:val="a3"/>
        <w:spacing w:before="73" w:line="198" w:lineRule="exact"/>
        <w:ind w:left="100" w:right="5967"/>
        <w:rPr>
          <w:rFonts w:ascii="Arial"/>
        </w:rPr>
      </w:pPr>
      <w:proofErr w:type="spellStart"/>
      <w:r>
        <w:rPr>
          <w:rFonts w:ascii="Arial"/>
        </w:rPr>
        <w:t>Shiyi</w:t>
      </w:r>
      <w:proofErr w:type="spellEnd"/>
      <w:r>
        <w:rPr>
          <w:rFonts w:ascii="Arial"/>
        </w:rPr>
        <w:t xml:space="preserve"> Chen</w:t>
      </w:r>
      <w:r w:rsidR="00A9710C">
        <w:rPr>
          <w:rFonts w:ascii="Arial"/>
        </w:rPr>
        <w:t>, PhD</w:t>
      </w:r>
      <w:r w:rsidRPr="00B24943">
        <w:rPr>
          <w:rFonts w:ascii="Arial Narrow" w:eastAsia="宋体" w:hAnsi="Arial Narrow" w:cs="Times New Roman"/>
          <w:i/>
          <w:sz w:val="28"/>
          <w:szCs w:val="24"/>
          <w:lang w:val="en-GB"/>
        </w:rPr>
        <w:t xml:space="preserve"> </w:t>
      </w:r>
      <w:r w:rsidRPr="00B24943">
        <w:rPr>
          <w:rFonts w:ascii="Arial"/>
          <w:lang w:val="en-GB"/>
        </w:rPr>
        <w:t xml:space="preserve">Department of </w:t>
      </w:r>
      <w:proofErr w:type="spellStart"/>
      <w:r w:rsidRPr="00B24943">
        <w:rPr>
          <w:rFonts w:ascii="Arial"/>
          <w:lang w:val="en-GB"/>
        </w:rPr>
        <w:t>Orthopedic</w:t>
      </w:r>
      <w:proofErr w:type="spellEnd"/>
      <w:r w:rsidRPr="00B24943">
        <w:rPr>
          <w:rFonts w:ascii="Arial"/>
          <w:lang w:val="en-GB"/>
        </w:rPr>
        <w:t xml:space="preserve"> Sports Medicine, </w:t>
      </w:r>
      <w:proofErr w:type="spellStart"/>
      <w:r w:rsidRPr="00B24943">
        <w:rPr>
          <w:rFonts w:ascii="Arial"/>
          <w:lang w:val="en-GB"/>
        </w:rPr>
        <w:t>Huashan</w:t>
      </w:r>
      <w:proofErr w:type="spellEnd"/>
      <w:r w:rsidRPr="00B24943">
        <w:rPr>
          <w:rFonts w:ascii="Arial"/>
          <w:lang w:val="en-GB"/>
        </w:rPr>
        <w:t xml:space="preserve"> Hospital, </w:t>
      </w:r>
      <w:proofErr w:type="spellStart"/>
      <w:r w:rsidRPr="00B24943">
        <w:rPr>
          <w:rFonts w:ascii="Arial"/>
          <w:lang w:val="en-GB"/>
        </w:rPr>
        <w:t>Fudan</w:t>
      </w:r>
      <w:proofErr w:type="spellEnd"/>
      <w:r w:rsidRPr="00B24943">
        <w:rPr>
          <w:rFonts w:ascii="Arial"/>
          <w:lang w:val="en-GB"/>
        </w:rPr>
        <w:t xml:space="preserve"> University, Shanghai 200040,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B24943" w:rsidRPr="00B24943" w:rsidRDefault="00B24943" w:rsidP="00B24943">
      <w:pPr>
        <w:pStyle w:val="3"/>
        <w:spacing w:before="74"/>
        <w:jc w:val="both"/>
        <w:rPr>
          <w:b w:val="0"/>
          <w:sz w:val="18"/>
          <w:szCs w:val="18"/>
          <w:lang w:val="en-GB"/>
        </w:rPr>
      </w:pPr>
      <w:r w:rsidRPr="00B24943">
        <w:rPr>
          <w:b w:val="0"/>
          <w:sz w:val="18"/>
          <w:szCs w:val="18"/>
        </w:rPr>
        <w:t xml:space="preserve">Ribonuclease-A (RNase-A) encapsulated </w:t>
      </w:r>
      <w:proofErr w:type="spellStart"/>
      <w:proofErr w:type="gramStart"/>
      <w:r w:rsidRPr="00B24943">
        <w:rPr>
          <w:b w:val="0"/>
          <w:sz w:val="18"/>
          <w:szCs w:val="18"/>
        </w:rPr>
        <w:t>PbS</w:t>
      </w:r>
      <w:proofErr w:type="spellEnd"/>
      <w:proofErr w:type="gramEnd"/>
      <w:r w:rsidRPr="00B24943">
        <w:rPr>
          <w:b w:val="0"/>
          <w:sz w:val="18"/>
          <w:szCs w:val="18"/>
        </w:rPr>
        <w:t xml:space="preserve"> quantum</w:t>
      </w:r>
      <w:r>
        <w:rPr>
          <w:b w:val="0"/>
          <w:sz w:val="18"/>
          <w:szCs w:val="18"/>
        </w:rPr>
        <w:t xml:space="preserve"> </w:t>
      </w:r>
      <w:r w:rsidRPr="00B24943">
        <w:rPr>
          <w:b w:val="0"/>
          <w:sz w:val="18"/>
          <w:szCs w:val="18"/>
        </w:rPr>
        <w:t>dots (</w:t>
      </w:r>
      <w:proofErr w:type="spellStart"/>
      <w:r w:rsidRPr="00B24943">
        <w:rPr>
          <w:b w:val="0"/>
          <w:sz w:val="18"/>
          <w:szCs w:val="18"/>
        </w:rPr>
        <w:t>RNase-A@PbS</w:t>
      </w:r>
      <w:proofErr w:type="spellEnd"/>
      <w:r w:rsidRPr="00B24943">
        <w:rPr>
          <w:b w:val="0"/>
          <w:sz w:val="18"/>
          <w:szCs w:val="18"/>
        </w:rPr>
        <w:t xml:space="preserve"> </w:t>
      </w:r>
      <w:proofErr w:type="spellStart"/>
      <w:r w:rsidRPr="00B24943">
        <w:rPr>
          <w:b w:val="0"/>
          <w:sz w:val="18"/>
          <w:szCs w:val="18"/>
        </w:rPr>
        <w:t>Qdots</w:t>
      </w:r>
      <w:proofErr w:type="spellEnd"/>
      <w:r w:rsidRPr="00B24943">
        <w:rPr>
          <w:b w:val="0"/>
          <w:sz w:val="18"/>
          <w:szCs w:val="18"/>
        </w:rPr>
        <w:t>) which emit in the second near-infrared</w:t>
      </w:r>
      <w:r>
        <w:rPr>
          <w:b w:val="0"/>
          <w:sz w:val="18"/>
          <w:szCs w:val="18"/>
        </w:rPr>
        <w:t xml:space="preserve"> </w:t>
      </w:r>
      <w:r w:rsidRPr="00B24943">
        <w:rPr>
          <w:b w:val="0"/>
          <w:sz w:val="18"/>
          <w:szCs w:val="18"/>
        </w:rPr>
        <w:t>biological window (NIR-II, ca. 1000</w:t>
      </w:r>
      <w:r w:rsidRPr="00B24943">
        <w:rPr>
          <w:rFonts w:hint="eastAsia"/>
          <w:b w:val="0"/>
          <w:sz w:val="18"/>
          <w:szCs w:val="18"/>
        </w:rPr>
        <w:t>−</w:t>
      </w:r>
      <w:r w:rsidRPr="00B24943">
        <w:rPr>
          <w:b w:val="0"/>
          <w:sz w:val="18"/>
          <w:szCs w:val="18"/>
        </w:rPr>
        <w:t>1400 nm) are rapidly synthesized</w:t>
      </w:r>
      <w:r>
        <w:rPr>
          <w:b w:val="0"/>
          <w:sz w:val="18"/>
          <w:szCs w:val="18"/>
        </w:rPr>
        <w:t xml:space="preserve"> </w:t>
      </w:r>
      <w:r w:rsidRPr="00B24943">
        <w:rPr>
          <w:b w:val="0"/>
          <w:sz w:val="18"/>
          <w:szCs w:val="18"/>
        </w:rPr>
        <w:t xml:space="preserve">under microwave heating. Photoluminescence (PL) spectra of the </w:t>
      </w:r>
      <w:proofErr w:type="spellStart"/>
      <w:r w:rsidRPr="00B24943">
        <w:rPr>
          <w:b w:val="0"/>
          <w:sz w:val="18"/>
          <w:szCs w:val="18"/>
        </w:rPr>
        <w:t>Qdots</w:t>
      </w:r>
      <w:proofErr w:type="spellEnd"/>
      <w:r>
        <w:rPr>
          <w:b w:val="0"/>
          <w:sz w:val="18"/>
          <w:szCs w:val="18"/>
        </w:rPr>
        <w:t xml:space="preserve"> </w:t>
      </w:r>
      <w:r w:rsidRPr="00B24943">
        <w:rPr>
          <w:b w:val="0"/>
          <w:sz w:val="18"/>
          <w:szCs w:val="18"/>
        </w:rPr>
        <w:t>can be tuned across the entire NIR-II range by simply controlling</w:t>
      </w:r>
      <w:r>
        <w:rPr>
          <w:b w:val="0"/>
          <w:sz w:val="18"/>
          <w:szCs w:val="18"/>
        </w:rPr>
        <w:t xml:space="preserve"> </w:t>
      </w:r>
      <w:r w:rsidRPr="00B24943">
        <w:rPr>
          <w:b w:val="0"/>
          <w:sz w:val="18"/>
          <w:szCs w:val="18"/>
        </w:rPr>
        <w:t xml:space="preserve">synthesis temperature. The size and morphology of the </w:t>
      </w:r>
      <w:proofErr w:type="spellStart"/>
      <w:r w:rsidRPr="00B24943">
        <w:rPr>
          <w:b w:val="0"/>
          <w:sz w:val="18"/>
          <w:szCs w:val="18"/>
        </w:rPr>
        <w:t>Qdots</w:t>
      </w:r>
      <w:proofErr w:type="spellEnd"/>
      <w:r w:rsidRPr="00B24943">
        <w:rPr>
          <w:b w:val="0"/>
          <w:sz w:val="18"/>
          <w:szCs w:val="18"/>
        </w:rPr>
        <w:t xml:space="preserve"> are</w:t>
      </w:r>
      <w:r>
        <w:rPr>
          <w:b w:val="0"/>
          <w:sz w:val="18"/>
          <w:szCs w:val="18"/>
        </w:rPr>
        <w:t xml:space="preserve"> </w:t>
      </w:r>
      <w:r w:rsidRPr="00B24943">
        <w:rPr>
          <w:b w:val="0"/>
          <w:sz w:val="18"/>
          <w:szCs w:val="18"/>
        </w:rPr>
        <w:t>examined by transmission electron microscopy (TEM), atomic force</w:t>
      </w:r>
      <w:r>
        <w:rPr>
          <w:b w:val="0"/>
          <w:sz w:val="18"/>
          <w:szCs w:val="18"/>
        </w:rPr>
        <w:t xml:space="preserve"> </w:t>
      </w:r>
      <w:r w:rsidRPr="00B24943">
        <w:rPr>
          <w:b w:val="0"/>
          <w:sz w:val="18"/>
          <w:szCs w:val="18"/>
        </w:rPr>
        <w:t xml:space="preserve">microscopy (AFM), and dynamic light scattering (DLS). Quantum </w:t>
      </w:r>
      <w:proofErr w:type="gramStart"/>
      <w:r w:rsidRPr="00B24943">
        <w:rPr>
          <w:b w:val="0"/>
          <w:sz w:val="18"/>
          <w:szCs w:val="18"/>
        </w:rPr>
        <w:t>yield(</w:t>
      </w:r>
      <w:proofErr w:type="gramEnd"/>
      <w:r>
        <w:rPr>
          <w:rFonts w:eastAsiaTheme="minorEastAsia" w:hint="eastAsia"/>
          <w:b w:val="0"/>
          <w:sz w:val="18"/>
          <w:szCs w:val="18"/>
          <w:lang w:eastAsia="zh-CN"/>
        </w:rPr>
        <w:t>Q</w:t>
      </w:r>
      <w:r>
        <w:rPr>
          <w:rFonts w:eastAsiaTheme="minorEastAsia"/>
          <w:b w:val="0"/>
          <w:sz w:val="18"/>
          <w:szCs w:val="18"/>
          <w:lang w:eastAsia="zh-CN"/>
        </w:rPr>
        <w:t>Y</w:t>
      </w:r>
      <w:r w:rsidRPr="00B24943">
        <w:rPr>
          <w:b w:val="0"/>
          <w:sz w:val="18"/>
          <w:szCs w:val="18"/>
        </w:rPr>
        <w:t xml:space="preserve">) measurement confirms that the prepared </w:t>
      </w:r>
      <w:proofErr w:type="spellStart"/>
      <w:r w:rsidRPr="00B24943">
        <w:rPr>
          <w:b w:val="0"/>
          <w:sz w:val="18"/>
          <w:szCs w:val="18"/>
        </w:rPr>
        <w:t>Qdots</w:t>
      </w:r>
      <w:proofErr w:type="spellEnd"/>
      <w:r w:rsidRPr="00B24943">
        <w:rPr>
          <w:b w:val="0"/>
          <w:sz w:val="18"/>
          <w:szCs w:val="18"/>
        </w:rPr>
        <w:t xml:space="preserve"> are one of the</w:t>
      </w:r>
      <w:r>
        <w:rPr>
          <w:b w:val="0"/>
          <w:sz w:val="18"/>
          <w:szCs w:val="18"/>
        </w:rPr>
        <w:t xml:space="preserve"> </w:t>
      </w:r>
      <w:r w:rsidRPr="00B24943">
        <w:rPr>
          <w:b w:val="0"/>
          <w:sz w:val="18"/>
          <w:szCs w:val="18"/>
        </w:rPr>
        <w:t>brightest water-soluble NIR-II emitters for in vivo imaging. Their high</w:t>
      </w:r>
      <w:r>
        <w:rPr>
          <w:b w:val="0"/>
          <w:sz w:val="18"/>
          <w:szCs w:val="18"/>
        </w:rPr>
        <w:t xml:space="preserve"> </w:t>
      </w:r>
      <w:proofErr w:type="gramStart"/>
      <w:r>
        <w:rPr>
          <w:rFonts w:eastAsiaTheme="minorEastAsia" w:hint="eastAsia"/>
          <w:b w:val="0"/>
          <w:sz w:val="18"/>
          <w:szCs w:val="18"/>
          <w:lang w:eastAsia="zh-CN"/>
        </w:rPr>
        <w:t>Q</w:t>
      </w:r>
      <w:r>
        <w:rPr>
          <w:rFonts w:eastAsiaTheme="minorEastAsia"/>
          <w:b w:val="0"/>
          <w:sz w:val="18"/>
          <w:szCs w:val="18"/>
          <w:lang w:eastAsia="zh-CN"/>
        </w:rPr>
        <w:t>Y</w:t>
      </w:r>
      <w:r w:rsidRPr="00B24943">
        <w:rPr>
          <w:b w:val="0"/>
          <w:sz w:val="18"/>
          <w:szCs w:val="18"/>
        </w:rPr>
        <w:t>(</w:t>
      </w:r>
      <w:proofErr w:type="gramEnd"/>
      <w:r w:rsidRPr="00B24943">
        <w:rPr>
          <w:rFonts w:ascii="Cambria Math" w:hAnsi="Cambria Math" w:cs="Cambria Math"/>
          <w:b w:val="0"/>
          <w:sz w:val="18"/>
          <w:szCs w:val="18"/>
        </w:rPr>
        <w:t>∼</w:t>
      </w:r>
      <w:r w:rsidRPr="00B24943">
        <w:rPr>
          <w:b w:val="0"/>
          <w:sz w:val="18"/>
          <w:szCs w:val="18"/>
        </w:rPr>
        <w:t xml:space="preserve">17.3%) and peak emission at </w:t>
      </w:r>
      <w:r w:rsidRPr="00B24943">
        <w:rPr>
          <w:rFonts w:ascii="Cambria Math" w:hAnsi="Cambria Math" w:cs="Cambria Math"/>
          <w:b w:val="0"/>
          <w:sz w:val="18"/>
          <w:szCs w:val="18"/>
        </w:rPr>
        <w:t>∼</w:t>
      </w:r>
      <w:r w:rsidRPr="00B24943">
        <w:rPr>
          <w:b w:val="0"/>
          <w:sz w:val="18"/>
          <w:szCs w:val="18"/>
        </w:rPr>
        <w:t>1300 nm ensure deep optical</w:t>
      </w:r>
      <w:r>
        <w:rPr>
          <w:b w:val="0"/>
          <w:sz w:val="18"/>
          <w:szCs w:val="18"/>
        </w:rPr>
        <w:t xml:space="preserve"> </w:t>
      </w:r>
      <w:r w:rsidRPr="00B24943">
        <w:rPr>
          <w:b w:val="0"/>
          <w:sz w:val="18"/>
          <w:szCs w:val="18"/>
        </w:rPr>
        <w:t>penetration to muscle tissues (up to 1.5 cm) and excellent imaging</w:t>
      </w:r>
      <w:r>
        <w:rPr>
          <w:b w:val="0"/>
          <w:sz w:val="18"/>
          <w:szCs w:val="18"/>
        </w:rPr>
        <w:t xml:space="preserve"> </w:t>
      </w:r>
      <w:r w:rsidRPr="00B24943">
        <w:rPr>
          <w:b w:val="0"/>
          <w:sz w:val="18"/>
          <w:szCs w:val="18"/>
        </w:rPr>
        <w:t xml:space="preserve">contrast at an extremely low threshold dose of </w:t>
      </w:r>
      <w:r w:rsidRPr="00B24943">
        <w:rPr>
          <w:rFonts w:ascii="Cambria Math" w:hAnsi="Cambria Math" w:cs="Cambria Math"/>
          <w:b w:val="0"/>
          <w:sz w:val="18"/>
          <w:szCs w:val="18"/>
        </w:rPr>
        <w:t>∼</w:t>
      </w:r>
      <w:r w:rsidRPr="00B24943">
        <w:rPr>
          <w:b w:val="0"/>
          <w:sz w:val="18"/>
          <w:szCs w:val="18"/>
        </w:rPr>
        <w:t xml:space="preserve">5.2 </w:t>
      </w:r>
      <w:proofErr w:type="spellStart"/>
      <w:r w:rsidRPr="00B24943">
        <w:rPr>
          <w:b w:val="0"/>
          <w:sz w:val="18"/>
          <w:szCs w:val="18"/>
        </w:rPr>
        <w:t>pmol</w:t>
      </w:r>
      <w:proofErr w:type="spellEnd"/>
      <w:r w:rsidRPr="00B24943">
        <w:rPr>
          <w:b w:val="0"/>
          <w:sz w:val="18"/>
          <w:szCs w:val="18"/>
        </w:rPr>
        <w:t xml:space="preserve"> (</w:t>
      </w:r>
      <w:r w:rsidRPr="00B24943">
        <w:rPr>
          <w:rFonts w:ascii="Cambria Math" w:hAnsi="Cambria Math" w:cs="Cambria Math"/>
          <w:b w:val="0"/>
          <w:sz w:val="18"/>
          <w:szCs w:val="18"/>
        </w:rPr>
        <w:t>∼</w:t>
      </w:r>
      <w:r w:rsidRPr="00B24943">
        <w:rPr>
          <w:b w:val="0"/>
          <w:sz w:val="18"/>
          <w:szCs w:val="18"/>
        </w:rPr>
        <w:t xml:space="preserve">1 </w:t>
      </w:r>
      <w:proofErr w:type="spellStart"/>
      <w:r>
        <w:rPr>
          <w:rFonts w:ascii="Times New Roman" w:hAnsi="Times New Roman" w:cs="Times New Roman"/>
          <w:b w:val="0"/>
          <w:sz w:val="18"/>
          <w:szCs w:val="18"/>
        </w:rPr>
        <w:t>μ</w:t>
      </w:r>
      <w:r w:rsidRPr="00B24943">
        <w:rPr>
          <w:b w:val="0"/>
          <w:sz w:val="18"/>
          <w:szCs w:val="18"/>
        </w:rPr>
        <w:t>g</w:t>
      </w:r>
      <w:proofErr w:type="spellEnd"/>
      <w:r w:rsidRPr="00B24943">
        <w:rPr>
          <w:b w:val="0"/>
          <w:sz w:val="18"/>
          <w:szCs w:val="18"/>
        </w:rPr>
        <w:t>) per</w:t>
      </w:r>
      <w:r>
        <w:rPr>
          <w:b w:val="0"/>
          <w:sz w:val="18"/>
          <w:szCs w:val="18"/>
        </w:rPr>
        <w:t xml:space="preserve"> </w:t>
      </w:r>
      <w:r w:rsidRPr="00B24943">
        <w:rPr>
          <w:b w:val="0"/>
          <w:sz w:val="18"/>
          <w:szCs w:val="18"/>
        </w:rPr>
        <w:t xml:space="preserve">mouse. Importantly, this protein coated </w:t>
      </w:r>
      <w:proofErr w:type="spellStart"/>
      <w:r w:rsidRPr="00B24943">
        <w:rPr>
          <w:b w:val="0"/>
          <w:sz w:val="18"/>
          <w:szCs w:val="18"/>
        </w:rPr>
        <w:t>Qdot</w:t>
      </w:r>
      <w:proofErr w:type="spellEnd"/>
      <w:r w:rsidRPr="00B24943">
        <w:rPr>
          <w:b w:val="0"/>
          <w:sz w:val="18"/>
          <w:szCs w:val="18"/>
        </w:rPr>
        <w:t xml:space="preserve"> displays no signs of toxicity</w:t>
      </w:r>
      <w:r>
        <w:rPr>
          <w:b w:val="0"/>
          <w:sz w:val="18"/>
          <w:szCs w:val="18"/>
        </w:rPr>
        <w:t xml:space="preserve"> </w:t>
      </w:r>
      <w:r w:rsidRPr="00B24943">
        <w:rPr>
          <w:b w:val="0"/>
          <w:sz w:val="18"/>
          <w:szCs w:val="18"/>
        </w:rPr>
        <w:t>toward model neuron, normal, and cancer cells in vitro. In addition, the animal’s metabolism results in thorough elimination of</w:t>
      </w:r>
      <w:r>
        <w:rPr>
          <w:b w:val="0"/>
          <w:sz w:val="18"/>
          <w:szCs w:val="18"/>
        </w:rPr>
        <w:t xml:space="preserve"> </w:t>
      </w:r>
      <w:r w:rsidRPr="00B24943">
        <w:rPr>
          <w:b w:val="0"/>
          <w:sz w:val="18"/>
          <w:szCs w:val="18"/>
        </w:rPr>
        <w:t xml:space="preserve">intravenously injected </w:t>
      </w:r>
      <w:proofErr w:type="spellStart"/>
      <w:r w:rsidRPr="00B24943">
        <w:rPr>
          <w:b w:val="0"/>
          <w:sz w:val="18"/>
          <w:szCs w:val="18"/>
        </w:rPr>
        <w:t>Qdots</w:t>
      </w:r>
      <w:proofErr w:type="spellEnd"/>
      <w:r w:rsidRPr="00B24943">
        <w:rPr>
          <w:b w:val="0"/>
          <w:sz w:val="18"/>
          <w:szCs w:val="18"/>
        </w:rPr>
        <w:t xml:space="preserve"> from the body within several days via the reticuloendothelial system (RES), which minimizes</w:t>
      </w:r>
      <w:r>
        <w:rPr>
          <w:b w:val="0"/>
          <w:sz w:val="18"/>
          <w:szCs w:val="18"/>
        </w:rPr>
        <w:t xml:space="preserve"> </w:t>
      </w:r>
      <w:r w:rsidRPr="00B24943">
        <w:rPr>
          <w:b w:val="0"/>
          <w:sz w:val="18"/>
          <w:szCs w:val="18"/>
        </w:rPr>
        <w:t>potential long-term toxicity in vivo from possible release of lead content. With a combination of attractive properties of high</w:t>
      </w:r>
      <w:r>
        <w:rPr>
          <w:b w:val="0"/>
          <w:sz w:val="18"/>
          <w:szCs w:val="18"/>
        </w:rPr>
        <w:t xml:space="preserve"> </w:t>
      </w:r>
      <w:r w:rsidRPr="00B24943">
        <w:rPr>
          <w:b w:val="0"/>
          <w:sz w:val="18"/>
          <w:szCs w:val="18"/>
        </w:rPr>
        <w:t xml:space="preserve">brightness, robust </w:t>
      </w:r>
      <w:proofErr w:type="spellStart"/>
      <w:r w:rsidRPr="00B24943">
        <w:rPr>
          <w:b w:val="0"/>
          <w:sz w:val="18"/>
          <w:szCs w:val="18"/>
        </w:rPr>
        <w:t>photostability</w:t>
      </w:r>
      <w:proofErr w:type="spellEnd"/>
      <w:r w:rsidRPr="00B24943">
        <w:rPr>
          <w:b w:val="0"/>
          <w:sz w:val="18"/>
          <w:szCs w:val="18"/>
        </w:rPr>
        <w:t xml:space="preserve">, and excellent biocompatibility, this new NIR-II emitting </w:t>
      </w:r>
      <w:proofErr w:type="spellStart"/>
      <w:r w:rsidRPr="00B24943">
        <w:rPr>
          <w:b w:val="0"/>
          <w:sz w:val="18"/>
          <w:szCs w:val="18"/>
        </w:rPr>
        <w:t>Qdot</w:t>
      </w:r>
      <w:proofErr w:type="spellEnd"/>
      <w:r w:rsidRPr="00B24943">
        <w:rPr>
          <w:b w:val="0"/>
          <w:sz w:val="18"/>
          <w:szCs w:val="18"/>
        </w:rPr>
        <w:t xml:space="preserve"> is highly promising in accurate</w:t>
      </w:r>
      <w:r>
        <w:rPr>
          <w:b w:val="0"/>
          <w:sz w:val="18"/>
          <w:szCs w:val="18"/>
        </w:rPr>
        <w:t xml:space="preserve"> </w:t>
      </w:r>
      <w:r w:rsidRPr="00B24943">
        <w:rPr>
          <w:b w:val="0"/>
          <w:sz w:val="18"/>
          <w:szCs w:val="18"/>
        </w:rPr>
        <w:t>disease screening and diagnostic applications.</w:t>
      </w:r>
    </w:p>
    <w:p w:rsidR="00B24943" w:rsidRPr="00B24943" w:rsidRDefault="00F16F81" w:rsidP="00B24943">
      <w:pPr>
        <w:pStyle w:val="3"/>
        <w:spacing w:before="74"/>
        <w:rPr>
          <w:lang w:val="en-GB"/>
        </w:rPr>
      </w:pPr>
      <w:r w:rsidRPr="00F16F81">
        <w:rPr>
          <w:noProof/>
          <w:lang w:eastAsia="zh-CN"/>
        </w:rPr>
        <w:drawing>
          <wp:inline distT="0" distB="0" distL="0" distR="0">
            <wp:extent cx="2743200" cy="1022544"/>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4874" cy="1023168"/>
                    </a:xfrm>
                    <a:prstGeom prst="rect">
                      <a:avLst/>
                    </a:prstGeom>
                    <a:noFill/>
                    <a:ln>
                      <a:noFill/>
                    </a:ln>
                  </pic:spPr>
                </pic:pic>
              </a:graphicData>
            </a:graphic>
          </wp:inline>
        </w:drawing>
      </w:r>
    </w:p>
    <w:p w:rsidR="00B24943" w:rsidRPr="00B24943" w:rsidRDefault="00B24943" w:rsidP="00F16F81">
      <w:pPr>
        <w:pStyle w:val="3"/>
        <w:spacing w:before="74"/>
        <w:jc w:val="center"/>
        <w:rPr>
          <w:b w:val="0"/>
          <w:sz w:val="16"/>
          <w:szCs w:val="16"/>
          <w:lang w:val="en-GB"/>
        </w:rPr>
      </w:pPr>
      <w:r w:rsidRPr="00B24943">
        <w:rPr>
          <w:b w:val="0"/>
          <w:sz w:val="16"/>
          <w:szCs w:val="16"/>
          <w:lang w:val="en-GB"/>
        </w:rPr>
        <w:t>Scheme 1. Illustration of LG-</w:t>
      </w:r>
      <w:proofErr w:type="spellStart"/>
      <w:r w:rsidRPr="00B24943">
        <w:rPr>
          <w:b w:val="0"/>
          <w:sz w:val="16"/>
          <w:szCs w:val="16"/>
          <w:lang w:val="en-GB"/>
        </w:rPr>
        <w:t>PbS</w:t>
      </w:r>
      <w:proofErr w:type="spellEnd"/>
      <w:r w:rsidRPr="00B24943">
        <w:rPr>
          <w:b w:val="0"/>
          <w:sz w:val="16"/>
          <w:szCs w:val="16"/>
          <w:lang w:val="en-GB"/>
        </w:rPr>
        <w:t xml:space="preserve"> QDs recycled synthesis.</w:t>
      </w:r>
    </w:p>
    <w:p w:rsidR="00F16F81" w:rsidRDefault="00F16F81" w:rsidP="00F16F81">
      <w:pPr>
        <w:pStyle w:val="a3"/>
        <w:jc w:val="center"/>
        <w:rPr>
          <w:rFonts w:ascii="Calibri"/>
          <w:sz w:val="20"/>
        </w:rPr>
      </w:pPr>
      <w:r w:rsidRPr="00F16F81">
        <w:rPr>
          <w:rFonts w:ascii="Calibri"/>
          <w:noProof/>
          <w:sz w:val="20"/>
          <w:lang w:eastAsia="zh-CN"/>
        </w:rPr>
        <w:drawing>
          <wp:inline distT="0" distB="0" distL="0" distR="0" wp14:anchorId="57D61D22" wp14:editId="4C28962A">
            <wp:extent cx="2809875" cy="1082547"/>
            <wp:effectExtent l="0" t="0" r="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5430" cy="1084687"/>
                    </a:xfrm>
                    <a:prstGeom prst="rect">
                      <a:avLst/>
                    </a:prstGeom>
                    <a:noFill/>
                    <a:ln>
                      <a:noFill/>
                    </a:ln>
                  </pic:spPr>
                </pic:pic>
              </a:graphicData>
            </a:graphic>
          </wp:inline>
        </w:drawing>
      </w:r>
      <w:r>
        <w:br/>
      </w:r>
      <w:r w:rsidRPr="00F16F81">
        <w:rPr>
          <w:rFonts w:ascii="Calibri"/>
          <w:sz w:val="20"/>
        </w:rPr>
        <w:t>Figure 1. (a) Photoluminescence (PL)</w:t>
      </w:r>
      <w:r w:rsidRPr="00F16F81">
        <w:rPr>
          <w:rFonts w:ascii="Calibri"/>
          <w:sz w:val="20"/>
        </w:rPr>
        <w:t xml:space="preserve"> </w:t>
      </w:r>
      <w:r>
        <w:rPr>
          <w:rFonts w:ascii="Calibri"/>
          <w:sz w:val="20"/>
        </w:rPr>
        <w:t xml:space="preserve">and (b) </w:t>
      </w:r>
      <w:r w:rsidRPr="00F16F81">
        <w:rPr>
          <w:rFonts w:ascii="Calibri"/>
          <w:sz w:val="20"/>
        </w:rPr>
        <w:t>UV/vis/NIR</w:t>
      </w:r>
      <w:r>
        <w:rPr>
          <w:rFonts w:ascii="Calibri"/>
          <w:sz w:val="20"/>
        </w:rPr>
        <w:t xml:space="preserve"> </w:t>
      </w:r>
      <w:r w:rsidRPr="00F16F81">
        <w:rPr>
          <w:rFonts w:ascii="Calibri"/>
          <w:sz w:val="20"/>
        </w:rPr>
        <w:t xml:space="preserve">absorption spectra of color-tunable </w:t>
      </w:r>
      <w:proofErr w:type="spellStart"/>
      <w:r w:rsidRPr="00F16F81">
        <w:rPr>
          <w:rFonts w:ascii="Calibri"/>
          <w:sz w:val="20"/>
        </w:rPr>
        <w:t>RNase-A@PbS</w:t>
      </w:r>
      <w:proofErr w:type="spellEnd"/>
      <w:r w:rsidRPr="00F16F81">
        <w:rPr>
          <w:rFonts w:ascii="Calibri"/>
          <w:sz w:val="20"/>
        </w:rPr>
        <w:t xml:space="preserve"> </w:t>
      </w:r>
      <w:proofErr w:type="spellStart"/>
      <w:r w:rsidRPr="00F16F81">
        <w:rPr>
          <w:rFonts w:ascii="Calibri"/>
          <w:sz w:val="20"/>
        </w:rPr>
        <w:t>Qdots</w:t>
      </w:r>
      <w:proofErr w:type="spellEnd"/>
    </w:p>
    <w:p w:rsidR="00AE3E37" w:rsidRDefault="00F16F81">
      <w:pPr>
        <w:pStyle w:val="3"/>
        <w:spacing w:before="74"/>
        <w:rPr>
          <w:b w:val="0"/>
        </w:rPr>
      </w:pPr>
      <w:r w:rsidRPr="00F16F81">
        <w:rPr>
          <w:noProof/>
          <w:color w:val="BF5A14"/>
          <w:lang w:eastAsia="zh-CN"/>
        </w:rPr>
        <w:drawing>
          <wp:inline distT="0" distB="0" distL="0" distR="0">
            <wp:extent cx="3165475" cy="2185609"/>
            <wp:effectExtent l="0" t="0" r="0" b="57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2185609"/>
                    </a:xfrm>
                    <a:prstGeom prst="rect">
                      <a:avLst/>
                    </a:prstGeom>
                    <a:noFill/>
                    <a:ln>
                      <a:noFill/>
                    </a:ln>
                  </pic:spPr>
                </pic:pic>
              </a:graphicData>
            </a:graphic>
          </wp:inline>
        </w:drawing>
      </w:r>
    </w:p>
    <w:p w:rsidR="00F16F81" w:rsidRDefault="00F16F81" w:rsidP="00F16F81">
      <w:pPr>
        <w:autoSpaceDE w:val="0"/>
        <w:autoSpaceDN w:val="0"/>
        <w:adjustRightInd w:val="0"/>
        <w:rPr>
          <w:rFonts w:ascii="AdvOT2e364b11" w:eastAsiaTheme="minorEastAsia" w:hAnsi="AdvOT2e364b11" w:cs="AdvOT2e364b11"/>
          <w:sz w:val="18"/>
          <w:szCs w:val="18"/>
        </w:rPr>
      </w:pPr>
      <w:r>
        <w:rPr>
          <w:rFonts w:ascii="AdvOT51c1769e" w:eastAsiaTheme="minorEastAsia" w:hAnsi="AdvOT51c1769e" w:cs="AdvOT51c1769e"/>
          <w:sz w:val="18"/>
          <w:szCs w:val="18"/>
        </w:rPr>
        <w:t xml:space="preserve">Figure </w:t>
      </w:r>
      <w:r>
        <w:rPr>
          <w:rFonts w:ascii="AdvOT51c1769e" w:eastAsiaTheme="minorEastAsia" w:hAnsi="AdvOT51c1769e" w:cs="AdvOT51c1769e"/>
          <w:sz w:val="18"/>
          <w:szCs w:val="18"/>
        </w:rPr>
        <w:t>2</w:t>
      </w:r>
      <w:r>
        <w:rPr>
          <w:rFonts w:ascii="AdvOT51c1769e" w:eastAsiaTheme="minorEastAsia" w:hAnsi="AdvOT51c1769e" w:cs="AdvOT51c1769e"/>
          <w:sz w:val="18"/>
          <w:szCs w:val="18"/>
        </w:rPr>
        <w:t xml:space="preserve">. </w:t>
      </w:r>
      <w:proofErr w:type="spellStart"/>
      <w:r>
        <w:rPr>
          <w:rFonts w:ascii="AdvOT2e364b11" w:eastAsiaTheme="minorEastAsia" w:hAnsi="AdvOT2e364b11" w:cs="AdvOT2e364b11"/>
          <w:sz w:val="18"/>
          <w:szCs w:val="18"/>
        </w:rPr>
        <w:t>RNase-A@PbS</w:t>
      </w:r>
      <w:proofErr w:type="spellEnd"/>
      <w:r>
        <w:rPr>
          <w:rFonts w:ascii="AdvOT2e364b11" w:eastAsiaTheme="minorEastAsia" w:hAnsi="AdvOT2e364b11" w:cs="AdvOT2e364b11"/>
          <w:sz w:val="18"/>
          <w:szCs w:val="18"/>
        </w:rPr>
        <w:t xml:space="preserve"> </w:t>
      </w:r>
      <w:proofErr w:type="spellStart"/>
      <w:r>
        <w:rPr>
          <w:rFonts w:ascii="AdvOT2e364b11" w:eastAsiaTheme="minorEastAsia" w:hAnsi="AdvOT2e364b11" w:cs="AdvOT2e364b11"/>
          <w:sz w:val="18"/>
          <w:szCs w:val="18"/>
        </w:rPr>
        <w:t>Qdots</w:t>
      </w:r>
      <w:proofErr w:type="spellEnd"/>
      <w:r>
        <w:rPr>
          <w:rFonts w:ascii="AdvOT2e364b11" w:eastAsiaTheme="minorEastAsia" w:hAnsi="AdvOT2e364b11" w:cs="AdvOT2e364b11"/>
          <w:sz w:val="18"/>
          <w:szCs w:val="18"/>
        </w:rPr>
        <w:t xml:space="preserve"> for </w:t>
      </w:r>
      <w:r>
        <w:rPr>
          <w:rFonts w:ascii="AdvOT02ce3bbb.I" w:eastAsiaTheme="minorEastAsia" w:hAnsi="AdvOT02ce3bbb.I" w:cs="AdvOT02ce3bbb.I"/>
          <w:sz w:val="18"/>
          <w:szCs w:val="18"/>
        </w:rPr>
        <w:t xml:space="preserve">in vivo </w:t>
      </w:r>
      <w:r>
        <w:rPr>
          <w:rFonts w:ascii="AdvOT2e364b11" w:eastAsiaTheme="minorEastAsia" w:hAnsi="AdvOT2e364b11" w:cs="AdvOT2e364b11"/>
          <w:sz w:val="18"/>
          <w:szCs w:val="18"/>
        </w:rPr>
        <w:t xml:space="preserve">NIR-II </w:t>
      </w:r>
      <w:r>
        <w:rPr>
          <w:rFonts w:ascii="AdvOT2e364b11+fb" w:eastAsia="AdvOT2e364b11+fb" w:hAnsi="AdvOT51c1769e" w:cs="AdvOT2e364b11+fb"/>
          <w:sz w:val="18"/>
          <w:szCs w:val="18"/>
        </w:rPr>
        <w:t>fl</w:t>
      </w:r>
      <w:r>
        <w:rPr>
          <w:rFonts w:ascii="AdvOT2e364b11" w:eastAsiaTheme="minorEastAsia" w:hAnsi="AdvOT2e364b11" w:cs="AdvOT2e364b11"/>
          <w:sz w:val="18"/>
          <w:szCs w:val="18"/>
        </w:rPr>
        <w:t>uorescence</w:t>
      </w:r>
      <w:r>
        <w:rPr>
          <w:rFonts w:ascii="AdvOT2e364b11" w:eastAsiaTheme="minorEastAsia" w:hAnsi="AdvOT2e364b11" w:cs="AdvOT2e364b11"/>
          <w:sz w:val="18"/>
          <w:szCs w:val="18"/>
        </w:rPr>
        <w:t xml:space="preserve"> </w:t>
      </w:r>
      <w:r>
        <w:rPr>
          <w:rFonts w:ascii="AdvOT2e364b11" w:eastAsiaTheme="minorEastAsia" w:hAnsi="AdvOT2e364b11" w:cs="AdvOT2e364b11"/>
          <w:sz w:val="18"/>
          <w:szCs w:val="18"/>
        </w:rPr>
        <w:t xml:space="preserve">imaging. </w:t>
      </w:r>
    </w:p>
    <w:p w:rsidR="00F16F81" w:rsidRDefault="00F16F81" w:rsidP="00F16F81">
      <w:pPr>
        <w:autoSpaceDE w:val="0"/>
        <w:autoSpaceDN w:val="0"/>
        <w:adjustRightInd w:val="0"/>
        <w:rPr>
          <w:rFonts w:ascii="AdvOT2e364b11" w:eastAsiaTheme="minorEastAsia" w:hAnsi="AdvOT2e364b11" w:cs="AdvOT2e364b11"/>
          <w:sz w:val="18"/>
          <w:szCs w:val="18"/>
        </w:rPr>
      </w:pPr>
      <w:r w:rsidRPr="00F16F81">
        <w:rPr>
          <w:rFonts w:ascii="AdvOT2e364b11" w:eastAsiaTheme="minorEastAsia" w:hAnsi="AdvOT2e364b11" w:cs="AdvOT2e364b11"/>
          <w:noProof/>
          <w:sz w:val="18"/>
          <w:szCs w:val="18"/>
          <w:lang w:eastAsia="zh-CN"/>
        </w:rPr>
        <w:drawing>
          <wp:inline distT="0" distB="0" distL="0" distR="0">
            <wp:extent cx="3165475" cy="2599042"/>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5475" cy="2599042"/>
                    </a:xfrm>
                    <a:prstGeom prst="rect">
                      <a:avLst/>
                    </a:prstGeom>
                    <a:noFill/>
                    <a:ln>
                      <a:noFill/>
                    </a:ln>
                  </pic:spPr>
                </pic:pic>
              </a:graphicData>
            </a:graphic>
          </wp:inline>
        </w:drawing>
      </w:r>
    </w:p>
    <w:p w:rsidR="00F16F81" w:rsidRDefault="00F16F81" w:rsidP="00F16F81">
      <w:pPr>
        <w:autoSpaceDE w:val="0"/>
        <w:autoSpaceDN w:val="0"/>
        <w:adjustRightInd w:val="0"/>
        <w:rPr>
          <w:rFonts w:ascii="AdvOT2e364b11" w:eastAsiaTheme="minorEastAsia" w:hAnsi="AdvOT2e364b11" w:cs="AdvOT2e364b11"/>
          <w:sz w:val="18"/>
          <w:szCs w:val="18"/>
        </w:rPr>
      </w:pPr>
      <w:r>
        <w:rPr>
          <w:rFonts w:ascii="AdvOT51c1769e" w:eastAsiaTheme="minorEastAsia" w:hAnsi="AdvOT51c1769e" w:cs="AdvOT51c1769e"/>
          <w:sz w:val="18"/>
          <w:szCs w:val="18"/>
        </w:rPr>
        <w:t>Figure</w:t>
      </w:r>
      <w:r>
        <w:rPr>
          <w:rFonts w:ascii="AdvOT51c1769e" w:eastAsiaTheme="minorEastAsia" w:hAnsi="AdvOT51c1769e" w:cs="AdvOT51c1769e"/>
          <w:sz w:val="18"/>
          <w:szCs w:val="18"/>
        </w:rPr>
        <w:t xml:space="preserve"> 3</w:t>
      </w:r>
      <w:r>
        <w:rPr>
          <w:rFonts w:ascii="AdvOT51c1769e" w:eastAsiaTheme="minorEastAsia" w:hAnsi="AdvOT51c1769e" w:cs="AdvOT51c1769e"/>
          <w:sz w:val="18"/>
          <w:szCs w:val="18"/>
        </w:rPr>
        <w:t xml:space="preserve">. </w:t>
      </w:r>
      <w:r>
        <w:rPr>
          <w:rFonts w:ascii="AdvOT2e364b11" w:eastAsiaTheme="minorEastAsia" w:hAnsi="AdvOT2e364b11" w:cs="AdvOT2e364b11"/>
          <w:sz w:val="18"/>
          <w:szCs w:val="18"/>
        </w:rPr>
        <w:t xml:space="preserve">(a) NIR-II </w:t>
      </w:r>
      <w:r>
        <w:rPr>
          <w:rFonts w:ascii="AdvOT2e364b11+fb" w:eastAsia="AdvOT2e364b11+fb" w:hAnsi="AdvOT51c1769e" w:cs="AdvOT2e364b11+fb"/>
          <w:sz w:val="18"/>
          <w:szCs w:val="18"/>
        </w:rPr>
        <w:t>fl</w:t>
      </w:r>
      <w:r>
        <w:rPr>
          <w:rFonts w:ascii="AdvOT2e364b11" w:eastAsiaTheme="minorEastAsia" w:hAnsi="AdvOT2e364b11" w:cs="AdvOT2e364b11"/>
          <w:sz w:val="18"/>
          <w:szCs w:val="18"/>
        </w:rPr>
        <w:t xml:space="preserve">uorescence image of a living nude mouse at 1 h </w:t>
      </w:r>
      <w:proofErr w:type="spellStart"/>
      <w:r>
        <w:rPr>
          <w:rFonts w:ascii="AdvOT2e364b11" w:eastAsiaTheme="minorEastAsia" w:hAnsi="AdvOT2e364b11" w:cs="AdvOT2e364b11"/>
          <w:sz w:val="18"/>
          <w:szCs w:val="18"/>
        </w:rPr>
        <w:t>postinjection</w:t>
      </w:r>
      <w:proofErr w:type="spellEnd"/>
      <w:r>
        <w:rPr>
          <w:rFonts w:ascii="AdvOT2e364b11" w:eastAsiaTheme="minorEastAsia" w:hAnsi="AdvOT2e364b11" w:cs="AdvOT2e364b11"/>
          <w:sz w:val="18"/>
          <w:szCs w:val="18"/>
        </w:rPr>
        <w:t xml:space="preserve"> for mapping major bone structures (identi</w:t>
      </w:r>
      <w:r>
        <w:rPr>
          <w:rFonts w:ascii="AdvOT2e364b11+fb" w:eastAsia="AdvOT2e364b11+fb" w:hAnsi="AdvOT51c1769e" w:cs="AdvOT2e364b11+fb"/>
          <w:sz w:val="18"/>
          <w:szCs w:val="18"/>
        </w:rPr>
        <w:t>fi</w:t>
      </w:r>
      <w:r>
        <w:rPr>
          <w:rFonts w:ascii="AdvOT2e364b11" w:eastAsiaTheme="minorEastAsia" w:hAnsi="AdvOT2e364b11" w:cs="AdvOT2e364b11"/>
          <w:sz w:val="18"/>
          <w:szCs w:val="18"/>
        </w:rPr>
        <w:t>ed with arrows). (b)</w:t>
      </w:r>
      <w:r>
        <w:rPr>
          <w:rFonts w:ascii="AdvOT2e364b11" w:eastAsiaTheme="minorEastAsia" w:hAnsi="AdvOT2e364b11" w:cs="AdvOT2e364b11"/>
          <w:sz w:val="18"/>
          <w:szCs w:val="18"/>
        </w:rPr>
        <w:t xml:space="preserve"> </w:t>
      </w:r>
      <w:r>
        <w:rPr>
          <w:rFonts w:ascii="AdvOT2e364b11" w:eastAsiaTheme="minorEastAsia" w:hAnsi="AdvOT2e364b11" w:cs="AdvOT2e364b11"/>
          <w:sz w:val="18"/>
          <w:szCs w:val="18"/>
        </w:rPr>
        <w:t xml:space="preserve">X-ray image. (c) A zoom-in image of the selected area in part a. (d) </w:t>
      </w:r>
      <w:proofErr w:type="gramStart"/>
      <w:r>
        <w:rPr>
          <w:rFonts w:ascii="AdvOT2e364b11" w:eastAsiaTheme="minorEastAsia" w:hAnsi="AdvOT2e364b11" w:cs="AdvOT2e364b11"/>
          <w:sz w:val="18"/>
          <w:szCs w:val="18"/>
        </w:rPr>
        <w:t>A</w:t>
      </w:r>
      <w:proofErr w:type="gramEnd"/>
      <w:r>
        <w:rPr>
          <w:rFonts w:ascii="AdvOT2e364b11" w:eastAsiaTheme="minorEastAsia" w:hAnsi="AdvOT2e364b11" w:cs="AdvOT2e364b11"/>
          <w:sz w:val="18"/>
          <w:szCs w:val="18"/>
        </w:rPr>
        <w:t xml:space="preserve"> cross-sectional intensity pro</w:t>
      </w:r>
      <w:r>
        <w:rPr>
          <w:rFonts w:ascii="AdvOT2e364b11+fb" w:eastAsia="AdvOT2e364b11+fb" w:hAnsi="AdvOT51c1769e" w:cs="AdvOT2e364b11+fb"/>
          <w:sz w:val="18"/>
          <w:szCs w:val="18"/>
        </w:rPr>
        <w:t>fi</w:t>
      </w:r>
      <w:r>
        <w:rPr>
          <w:rFonts w:ascii="AdvOT2e364b11" w:eastAsiaTheme="minorEastAsia" w:hAnsi="AdvOT2e364b11" w:cs="AdvOT2e364b11"/>
          <w:sz w:val="18"/>
          <w:szCs w:val="18"/>
        </w:rPr>
        <w:t>le measured along the yellow line in part c is</w:t>
      </w:r>
      <w:r>
        <w:rPr>
          <w:rFonts w:ascii="AdvOT2e364b11" w:eastAsiaTheme="minorEastAsia" w:hAnsi="AdvOT2e364b11" w:cs="AdvOT2e364b11"/>
          <w:sz w:val="18"/>
          <w:szCs w:val="18"/>
        </w:rPr>
        <w:t xml:space="preserve"> </w:t>
      </w:r>
      <w:r>
        <w:rPr>
          <w:rFonts w:ascii="AdvOT2e364b11+fb" w:eastAsia="AdvOT2e364b11+fb" w:hAnsi="AdvOT51c1769e" w:cs="AdvOT2e364b11+fb"/>
          <w:sz w:val="18"/>
          <w:szCs w:val="18"/>
        </w:rPr>
        <w:t>fi</w:t>
      </w:r>
      <w:r>
        <w:rPr>
          <w:rFonts w:ascii="AdvOT2e364b11" w:eastAsiaTheme="minorEastAsia" w:hAnsi="AdvOT2e364b11" w:cs="AdvOT2e364b11"/>
          <w:sz w:val="18"/>
          <w:szCs w:val="18"/>
        </w:rPr>
        <w:t>tted to a Gaussian function. (e) A cross-sectional intensity pro</w:t>
      </w:r>
      <w:r>
        <w:rPr>
          <w:rFonts w:ascii="AdvOT2e364b11+fb" w:eastAsia="AdvOT2e364b11+fb" w:hAnsi="AdvOT51c1769e" w:cs="AdvOT2e364b11+fb"/>
          <w:sz w:val="18"/>
          <w:szCs w:val="18"/>
        </w:rPr>
        <w:t>fi</w:t>
      </w:r>
      <w:r>
        <w:rPr>
          <w:rFonts w:ascii="AdvOT2e364b11" w:eastAsiaTheme="minorEastAsia" w:hAnsi="AdvOT2e364b11" w:cs="AdvOT2e364b11"/>
          <w:sz w:val="18"/>
          <w:szCs w:val="18"/>
        </w:rPr>
        <w:t>le measured along the red line in part b. Scale bars represent 1 cm.</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 xml:space="preserve">cations </w:t>
      </w:r>
    </w:p>
    <w:p w:rsidR="00AE3E37" w:rsidRDefault="00F16F81">
      <w:pPr>
        <w:pStyle w:val="a4"/>
        <w:numPr>
          <w:ilvl w:val="0"/>
          <w:numId w:val="2"/>
        </w:numPr>
        <w:tabs>
          <w:tab w:val="left" w:pos="384"/>
        </w:tabs>
        <w:spacing w:before="99"/>
        <w:ind w:right="118" w:hanging="283"/>
        <w:rPr>
          <w:sz w:val="18"/>
        </w:rPr>
      </w:pPr>
      <w:r w:rsidRPr="00F16F81">
        <w:rPr>
          <w:sz w:val="18"/>
          <w:lang w:val="en-GB"/>
        </w:rPr>
        <w:t xml:space="preserve">Y. Kong, J. Chen, H. Fang, G. Heath, Y. Wo, W. Wang, Y. Li, Y. </w:t>
      </w:r>
      <w:proofErr w:type="spellStart"/>
      <w:r w:rsidRPr="00F16F81">
        <w:rPr>
          <w:sz w:val="18"/>
          <w:lang w:val="en-GB"/>
        </w:rPr>
        <w:t>Guo</w:t>
      </w:r>
      <w:proofErr w:type="spellEnd"/>
      <w:r w:rsidRPr="00F16F81">
        <w:rPr>
          <w:sz w:val="18"/>
          <w:lang w:val="en-GB"/>
        </w:rPr>
        <w:t xml:space="preserve">, S. D. Evans, S. Chen and D. Zhou, </w:t>
      </w:r>
      <w:r w:rsidRPr="00F16F81">
        <w:rPr>
          <w:i/>
          <w:sz w:val="18"/>
          <w:lang w:val="en-GB"/>
        </w:rPr>
        <w:t>Chem. Mater.</w:t>
      </w:r>
      <w:r w:rsidRPr="00F16F81">
        <w:rPr>
          <w:sz w:val="18"/>
          <w:lang w:val="en-GB"/>
        </w:rPr>
        <w:t xml:space="preserve">, 2016, </w:t>
      </w:r>
      <w:r w:rsidRPr="00F16F81">
        <w:rPr>
          <w:b/>
          <w:sz w:val="18"/>
          <w:lang w:val="en-GB"/>
        </w:rPr>
        <w:t>28</w:t>
      </w:r>
      <w:r w:rsidRPr="00F16F81">
        <w:rPr>
          <w:sz w:val="18"/>
          <w:lang w:val="en-GB"/>
        </w:rPr>
        <w:t>, 3041-3050.</w:t>
      </w:r>
    </w:p>
    <w:p w:rsidR="00F16F81" w:rsidRPr="00F16F81" w:rsidRDefault="00F16F81" w:rsidP="00F16F81">
      <w:pPr>
        <w:pStyle w:val="a4"/>
        <w:numPr>
          <w:ilvl w:val="0"/>
          <w:numId w:val="2"/>
        </w:numPr>
        <w:tabs>
          <w:tab w:val="left" w:pos="384"/>
        </w:tabs>
        <w:ind w:right="118"/>
        <w:rPr>
          <w:sz w:val="18"/>
        </w:rPr>
      </w:pPr>
      <w:r w:rsidRPr="00F16F81">
        <w:rPr>
          <w:sz w:val="18"/>
        </w:rPr>
        <w:tab/>
        <w:t>J. Chen, Y. Kong, Y. Wo, H. Fang, Y. Li, T. Zhang, Y. Dong, Y. Ge, Z. Wu, D. Zhou and S. Chen, J. Mater. Chem. B, 2016, 4, 6271-6278.</w:t>
      </w:r>
    </w:p>
    <w:p w:rsidR="00F16F81" w:rsidRDefault="00F16F81" w:rsidP="00F16F81">
      <w:pPr>
        <w:pStyle w:val="a4"/>
        <w:numPr>
          <w:ilvl w:val="0"/>
          <w:numId w:val="2"/>
        </w:numPr>
        <w:tabs>
          <w:tab w:val="left" w:pos="384"/>
        </w:tabs>
        <w:ind w:right="118"/>
        <w:rPr>
          <w:sz w:val="18"/>
        </w:rPr>
      </w:pPr>
      <w:r w:rsidRPr="00F16F81">
        <w:rPr>
          <w:sz w:val="18"/>
        </w:rPr>
        <w:tab/>
        <w:t xml:space="preserve">J. Chen, Y. Kong, W. Wang, h. Fang, Y. </w:t>
      </w:r>
      <w:proofErr w:type="gramStart"/>
      <w:r w:rsidRPr="00F16F81">
        <w:rPr>
          <w:sz w:val="18"/>
        </w:rPr>
        <w:t>Wo</w:t>
      </w:r>
      <w:proofErr w:type="gramEnd"/>
      <w:r w:rsidRPr="00F16F81">
        <w:rPr>
          <w:sz w:val="18"/>
        </w:rPr>
        <w:t xml:space="preserve">, D. Zhou, Z. Wu, Y. Li and S. Chen, Chem. </w:t>
      </w:r>
      <w:proofErr w:type="spellStart"/>
      <w:r w:rsidRPr="00F16F81">
        <w:rPr>
          <w:sz w:val="18"/>
        </w:rPr>
        <w:t>Commun</w:t>
      </w:r>
      <w:proofErr w:type="spellEnd"/>
      <w:r w:rsidRPr="00F16F81">
        <w:rPr>
          <w:sz w:val="18"/>
        </w:rPr>
        <w:t>., 2016, 52, 4025-4028.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815B72">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F154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F16F81">
        <w:rPr>
          <w:noProof/>
          <w:lang w:eastAsia="zh-CN"/>
        </w:rPr>
        <w:drawing>
          <wp:inline distT="0" distB="0" distL="0" distR="0" wp14:anchorId="781E6C54" wp14:editId="422EC801">
            <wp:extent cx="1524000" cy="1628775"/>
            <wp:effectExtent l="0" t="0" r="0" b="9525"/>
            <wp:docPr id="18" name="图片 18" descr="微信图片_2017071813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微信图片_2017071813100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9295" t="25271" r="41772" b="28261"/>
                    <a:stretch/>
                  </pic:blipFill>
                  <pic:spPr bwMode="auto">
                    <a:xfrm>
                      <a:off x="0" y="0"/>
                      <a:ext cx="1524000" cy="16287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color w:val="BF5A14"/>
        </w:rPr>
        <w:t xml:space="preserve">        </w:t>
      </w:r>
      <w:r w:rsidR="00A9710C">
        <w:rPr>
          <w:rFonts w:ascii="Arial"/>
          <w:color w:val="BF5A14"/>
        </w:rPr>
        <w:t>Biography</w:t>
      </w:r>
      <w:r>
        <w:rPr>
          <w:rFonts w:ascii="Arial"/>
          <w:color w:val="BF5A14"/>
        </w:rPr>
        <w:t xml:space="preserve"> </w:t>
      </w:r>
      <w:bookmarkStart w:id="0" w:name="_GoBack"/>
      <w:bookmarkEnd w:id="0"/>
    </w:p>
    <w:p w:rsidR="00F16F81" w:rsidRPr="00F16F81" w:rsidRDefault="00F16F81" w:rsidP="00F16F81">
      <w:pPr>
        <w:spacing w:before="62"/>
        <w:ind w:left="4217" w:right="4235"/>
        <w:jc w:val="center"/>
        <w:rPr>
          <w:rFonts w:ascii="Arial"/>
          <w:sz w:val="14"/>
        </w:rPr>
      </w:pPr>
      <w:proofErr w:type="spellStart"/>
      <w:r w:rsidRPr="00F16F81">
        <w:rPr>
          <w:rFonts w:ascii="Arial"/>
          <w:sz w:val="14"/>
        </w:rPr>
        <w:t>Dr</w:t>
      </w:r>
      <w:proofErr w:type="spellEnd"/>
      <w:r w:rsidRPr="00F16F81">
        <w:rPr>
          <w:rFonts w:ascii="Arial"/>
          <w:sz w:val="14"/>
        </w:rPr>
        <w:t xml:space="preserve"> Jun Chen  </w:t>
      </w:r>
    </w:p>
    <w:p w:rsidR="00F16F81" w:rsidRPr="00F16F81" w:rsidRDefault="00F16F81" w:rsidP="00F16F81">
      <w:pPr>
        <w:spacing w:before="62"/>
        <w:ind w:left="851" w:right="1759"/>
        <w:jc w:val="both"/>
        <w:rPr>
          <w:rFonts w:ascii="Arial"/>
          <w:sz w:val="14"/>
        </w:rPr>
      </w:pPr>
      <w:r w:rsidRPr="00F16F81">
        <w:rPr>
          <w:rFonts w:ascii="Arial"/>
          <w:sz w:val="14"/>
        </w:rPr>
        <w:t xml:space="preserve">He is currently the assistant Professor of </w:t>
      </w:r>
      <w:proofErr w:type="spellStart"/>
      <w:r w:rsidRPr="00F16F81">
        <w:rPr>
          <w:rFonts w:ascii="Arial"/>
          <w:sz w:val="14"/>
        </w:rPr>
        <w:t>Huashan</w:t>
      </w:r>
      <w:proofErr w:type="spellEnd"/>
      <w:r w:rsidRPr="00F16F81">
        <w:rPr>
          <w:rFonts w:ascii="Arial"/>
          <w:sz w:val="14"/>
        </w:rPr>
        <w:t xml:space="preserve"> Hospital, </w:t>
      </w:r>
      <w:proofErr w:type="spellStart"/>
      <w:r w:rsidRPr="00F16F81">
        <w:rPr>
          <w:rFonts w:ascii="Arial"/>
          <w:sz w:val="14"/>
        </w:rPr>
        <w:t>Fudan</w:t>
      </w:r>
      <w:proofErr w:type="spellEnd"/>
      <w:r w:rsidRPr="00F16F81">
        <w:rPr>
          <w:rFonts w:ascii="Arial"/>
          <w:sz w:val="14"/>
        </w:rPr>
        <w:t xml:space="preserve"> University, China. He obtained the doctor degree of biomedical engineering from Shanghai Jiao Tong University in 2013, he has had studied in the Central of Bioscience in University of Nottingham as an exchange student from April to Dec, 2013. He moved to </w:t>
      </w:r>
      <w:proofErr w:type="spellStart"/>
      <w:r w:rsidRPr="00F16F81">
        <w:rPr>
          <w:rFonts w:ascii="Arial"/>
          <w:sz w:val="14"/>
        </w:rPr>
        <w:t>Huashan</w:t>
      </w:r>
      <w:proofErr w:type="spellEnd"/>
      <w:r w:rsidRPr="00F16F81">
        <w:rPr>
          <w:rFonts w:ascii="Arial"/>
          <w:sz w:val="14"/>
        </w:rPr>
        <w:t xml:space="preserve"> Hospital, </w:t>
      </w:r>
      <w:proofErr w:type="spellStart"/>
      <w:r w:rsidRPr="00F16F81">
        <w:rPr>
          <w:rFonts w:ascii="Arial"/>
          <w:sz w:val="14"/>
        </w:rPr>
        <w:t>Fudan</w:t>
      </w:r>
      <w:proofErr w:type="spellEnd"/>
      <w:r w:rsidRPr="00F16F81">
        <w:rPr>
          <w:rFonts w:ascii="Arial"/>
          <w:sz w:val="14"/>
        </w:rPr>
        <w:t xml:space="preserve"> </w:t>
      </w:r>
      <w:proofErr w:type="spellStart"/>
      <w:r w:rsidRPr="00F16F81">
        <w:rPr>
          <w:rFonts w:ascii="Arial"/>
          <w:sz w:val="14"/>
        </w:rPr>
        <w:t>Unversity</w:t>
      </w:r>
      <w:proofErr w:type="spellEnd"/>
      <w:r w:rsidRPr="00F16F81">
        <w:rPr>
          <w:rFonts w:ascii="Arial"/>
          <w:sz w:val="14"/>
        </w:rPr>
        <w:t xml:space="preserve"> for two years as a </w:t>
      </w:r>
      <w:proofErr w:type="spellStart"/>
      <w:r w:rsidRPr="00F16F81">
        <w:rPr>
          <w:rFonts w:ascii="Arial"/>
          <w:sz w:val="14"/>
        </w:rPr>
        <w:t>postdoctor</w:t>
      </w:r>
      <w:proofErr w:type="spellEnd"/>
      <w:r w:rsidRPr="00F16F81">
        <w:rPr>
          <w:rFonts w:ascii="Arial"/>
          <w:sz w:val="14"/>
        </w:rPr>
        <w:t xml:space="preserve">, and then leads a multidiscipline research group on </w:t>
      </w:r>
      <w:proofErr w:type="spellStart"/>
      <w:r w:rsidRPr="00F16F81">
        <w:rPr>
          <w:rFonts w:ascii="Arial"/>
          <w:sz w:val="14"/>
        </w:rPr>
        <w:t>nanomateirals</w:t>
      </w:r>
      <w:proofErr w:type="spellEnd"/>
      <w:r w:rsidRPr="00F16F81">
        <w:rPr>
          <w:rFonts w:ascii="Arial"/>
          <w:sz w:val="14"/>
        </w:rPr>
        <w:t xml:space="preserve"> and biomedicine. Until now, He has had published more than 20 articles in high impact factor international journals such as Chem. Mater., Biomaterials, Nanoscale, J. Mater. Chem. B, and Chem. </w:t>
      </w:r>
      <w:proofErr w:type="spellStart"/>
      <w:r w:rsidRPr="00F16F81">
        <w:rPr>
          <w:rFonts w:ascii="Arial"/>
          <w:sz w:val="14"/>
        </w:rPr>
        <w:t>Commun</w:t>
      </w:r>
      <w:proofErr w:type="spellEnd"/>
      <w:r w:rsidRPr="00F16F81">
        <w:rPr>
          <w:rFonts w:ascii="Arial"/>
          <w:sz w:val="14"/>
        </w:rPr>
        <w:t xml:space="preserve">., </w:t>
      </w:r>
      <w:proofErr w:type="spellStart"/>
      <w:r w:rsidRPr="00F16F81">
        <w:rPr>
          <w:rFonts w:ascii="Arial"/>
          <w:sz w:val="14"/>
        </w:rPr>
        <w:t>etc</w:t>
      </w:r>
      <w:proofErr w:type="spellEnd"/>
      <w:r w:rsidRPr="00F16F81">
        <w:rPr>
          <w:rFonts w:ascii="Arial"/>
          <w:sz w:val="14"/>
        </w:rPr>
        <w:t xml:space="preserve">, and also has 7 Chinese patents of invention. His research interests including tissue engineering, </w:t>
      </w:r>
      <w:proofErr w:type="spellStart"/>
      <w:r w:rsidRPr="00F16F81">
        <w:rPr>
          <w:rFonts w:ascii="Arial"/>
          <w:sz w:val="14"/>
        </w:rPr>
        <w:t>nanotechology</w:t>
      </w:r>
      <w:proofErr w:type="spellEnd"/>
      <w:r w:rsidRPr="00F16F81">
        <w:rPr>
          <w:rFonts w:ascii="Arial"/>
          <w:sz w:val="14"/>
        </w:rPr>
        <w:t xml:space="preserve">, molecular imaging and multifunctional materials for biomedical application. </w:t>
      </w:r>
    </w:p>
    <w:p w:rsidR="00AE3E37" w:rsidRDefault="00A9710C">
      <w:pPr>
        <w:spacing w:before="62"/>
        <w:ind w:left="4217" w:right="4235"/>
        <w:jc w:val="center"/>
        <w:rPr>
          <w:rFonts w:ascii="Arial"/>
          <w:sz w:val="14"/>
        </w:rPr>
      </w:pPr>
      <w:r>
        <w:rPr>
          <w:rFonts w:ascii="Arial"/>
          <w:sz w:val="14"/>
        </w:rPr>
        <w:t>Email:</w:t>
      </w:r>
      <w:r w:rsidR="00F16F81">
        <w:t xml:space="preserve"> </w:t>
      </w:r>
      <w:r w:rsidR="00F16F81" w:rsidRPr="00F16F81">
        <w:rPr>
          <w:rFonts w:ascii="Arial"/>
          <w:sz w:val="14"/>
        </w:rPr>
        <w:t>biochenjun@fudan.edu.cn</w:t>
      </w:r>
    </w:p>
    <w:p w:rsidR="00AE3E37" w:rsidRDefault="00815B72">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DE56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093" w:rsidRDefault="00E93093">
      <w:r>
        <w:separator/>
      </w:r>
    </w:p>
  </w:endnote>
  <w:endnote w:type="continuationSeparator" w:id="0">
    <w:p w:rsidR="00E93093" w:rsidRDefault="00E93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dvOT51c1769e">
    <w:altName w:val="Times New Roman"/>
    <w:panose1 w:val="00000000000000000000"/>
    <w:charset w:val="00"/>
    <w:family w:val="roman"/>
    <w:notTrueType/>
    <w:pitch w:val="default"/>
    <w:sig w:usb0="00000003" w:usb1="00000000" w:usb2="00000000" w:usb3="00000000" w:csb0="00000001" w:csb1="00000000"/>
  </w:font>
  <w:font w:name="AdvOT2e364b11">
    <w:altName w:val="Times New Roman"/>
    <w:panose1 w:val="00000000000000000000"/>
    <w:charset w:val="00"/>
    <w:family w:val="roman"/>
    <w:notTrueType/>
    <w:pitch w:val="default"/>
    <w:sig w:usb0="00000003" w:usb1="00000000" w:usb2="00000000" w:usb3="00000000" w:csb0="00000001" w:csb1="00000000"/>
  </w:font>
  <w:font w:name="AdvOT02ce3bbb.I">
    <w:altName w:val="Arial"/>
    <w:panose1 w:val="00000000000000000000"/>
    <w:charset w:val="00"/>
    <w:family w:val="swiss"/>
    <w:notTrueType/>
    <w:pitch w:val="default"/>
    <w:sig w:usb0="00000003" w:usb1="00000000" w:usb2="00000000" w:usb3="00000000" w:csb0="00000001" w:csb1="00000000"/>
  </w:font>
  <w:font w:name="AdvOT2e364b11+fb">
    <w:altName w:val="等线"/>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5B72">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093" w:rsidRDefault="00E93093">
      <w:r>
        <w:separator/>
      </w:r>
    </w:p>
  </w:footnote>
  <w:footnote w:type="continuationSeparator" w:id="0">
    <w:p w:rsidR="00E93093" w:rsidRDefault="00E93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5B72">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371370"/>
    <w:rsid w:val="003B75F0"/>
    <w:rsid w:val="003C14DC"/>
    <w:rsid w:val="00404E5B"/>
    <w:rsid w:val="00414F7B"/>
    <w:rsid w:val="004355DC"/>
    <w:rsid w:val="004749B4"/>
    <w:rsid w:val="004F3523"/>
    <w:rsid w:val="005B3A56"/>
    <w:rsid w:val="006060CE"/>
    <w:rsid w:val="0063497F"/>
    <w:rsid w:val="00815B72"/>
    <w:rsid w:val="00873DF0"/>
    <w:rsid w:val="009B2D44"/>
    <w:rsid w:val="009F1D7D"/>
    <w:rsid w:val="00A9710C"/>
    <w:rsid w:val="00AE3E37"/>
    <w:rsid w:val="00B21A57"/>
    <w:rsid w:val="00B24943"/>
    <w:rsid w:val="00C33602"/>
    <w:rsid w:val="00C72FC5"/>
    <w:rsid w:val="00CD6F55"/>
    <w:rsid w:val="00DD353E"/>
    <w:rsid w:val="00E93093"/>
    <w:rsid w:val="00F16F8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CE4E5D-BF02-4E0F-8DD7-B698343F6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页眉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页脚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批注框文本 Char"/>
    <w:basedOn w:val="a0"/>
    <w:link w:val="a7"/>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CJ</cp:lastModifiedBy>
  <cp:revision>2</cp:revision>
  <dcterms:created xsi:type="dcterms:W3CDTF">2017-07-31T04:50:00Z</dcterms:created>
  <dcterms:modified xsi:type="dcterms:W3CDTF">2017-07-31T04:50:00Z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