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2131" w:rsidRPr="00702284" w:rsidRDefault="0072650E" w:rsidP="00575A72">
      <w:pPr>
        <w:jc w:val="center"/>
        <w:rPr>
          <w:b/>
          <w:bCs/>
          <w:sz w:val="28"/>
          <w:szCs w:val="28"/>
          <w:lang w:val="en-US"/>
        </w:rPr>
      </w:pPr>
      <w:r w:rsidRPr="00702284">
        <w:rPr>
          <w:b/>
          <w:bCs/>
          <w:sz w:val="28"/>
          <w:szCs w:val="28"/>
          <w:lang w:val="en-GB"/>
        </w:rPr>
        <w:t>Antioxidant activity and</w:t>
      </w:r>
      <w:r w:rsidRPr="00702284">
        <w:rPr>
          <w:b/>
          <w:bCs/>
          <w:color w:val="000000"/>
          <w:sz w:val="28"/>
          <w:szCs w:val="28"/>
          <w:lang w:val="en-US"/>
        </w:rPr>
        <w:t xml:space="preserve"> Hepatoprotective effects of</w:t>
      </w:r>
      <w:r w:rsidRPr="00702284">
        <w:rPr>
          <w:b/>
          <w:bCs/>
          <w:i/>
          <w:iCs/>
          <w:sz w:val="28"/>
          <w:szCs w:val="28"/>
          <w:lang w:val="en-GB" w:bidi="ar-DZ"/>
        </w:rPr>
        <w:t xml:space="preserve"> Centaurea incana</w:t>
      </w:r>
      <w:r w:rsidRPr="00702284">
        <w:rPr>
          <w:b/>
          <w:bCs/>
          <w:sz w:val="28"/>
          <w:szCs w:val="28"/>
          <w:lang w:val="en-US"/>
        </w:rPr>
        <w:t xml:space="preserve"> on  CCL4-induced liver toxicity in rats</w:t>
      </w:r>
    </w:p>
    <w:p w:rsidR="0072650E" w:rsidRPr="0072650E" w:rsidRDefault="0072650E" w:rsidP="0072650E">
      <w:pPr>
        <w:autoSpaceDE w:val="0"/>
        <w:autoSpaceDN w:val="0"/>
        <w:adjustRightInd w:val="0"/>
        <w:rPr>
          <w:rFonts w:ascii="Century Gothic" w:eastAsiaTheme="minorHAnsi" w:hAnsi="Century Gothic" w:cs="Century Gothic"/>
          <w:color w:val="000000"/>
          <w:lang w:val="en-US" w:eastAsia="en-US"/>
        </w:rPr>
      </w:pPr>
    </w:p>
    <w:p w:rsidR="00035B7D" w:rsidRPr="002D2463" w:rsidRDefault="00035B7D" w:rsidP="00C0554F">
      <w:pPr>
        <w:autoSpaceDE w:val="0"/>
        <w:autoSpaceDN w:val="0"/>
        <w:adjustRightInd w:val="0"/>
        <w:jc w:val="center"/>
        <w:rPr>
          <w:rFonts w:eastAsiaTheme="minorHAnsi"/>
          <w:b/>
          <w:bCs/>
          <w:color w:val="000000"/>
          <w:lang w:val="en-US" w:eastAsia="en-US"/>
        </w:rPr>
      </w:pPr>
      <w:r w:rsidRPr="00035B7D">
        <w:rPr>
          <w:rFonts w:eastAsiaTheme="minorHAnsi"/>
          <w:b/>
          <w:bCs/>
          <w:color w:val="000000"/>
          <w:u w:val="single"/>
          <w:vertAlign w:val="superscript"/>
          <w:lang w:val="en-US" w:eastAsia="en-US"/>
        </w:rPr>
        <w:t>1</w:t>
      </w:r>
      <w:r w:rsidRPr="00035B7D">
        <w:rPr>
          <w:rFonts w:eastAsiaTheme="minorHAnsi"/>
          <w:b/>
          <w:bCs/>
          <w:color w:val="000000"/>
          <w:u w:val="single"/>
          <w:lang w:val="en-US" w:eastAsia="en-US"/>
        </w:rPr>
        <w:t>Boubellouta Houria,</w:t>
      </w:r>
      <w:r w:rsidRPr="002D2463">
        <w:rPr>
          <w:rFonts w:eastAsiaTheme="minorHAnsi"/>
          <w:b/>
          <w:bCs/>
          <w:color w:val="000000"/>
          <w:lang w:val="en-US" w:eastAsia="en-US"/>
        </w:rPr>
        <w:t xml:space="preserve"> </w:t>
      </w:r>
      <w:r w:rsidRPr="002D2463">
        <w:rPr>
          <w:rFonts w:eastAsiaTheme="minorHAnsi"/>
          <w:b/>
          <w:bCs/>
          <w:color w:val="000000"/>
          <w:vertAlign w:val="superscript"/>
          <w:lang w:val="en-US" w:eastAsia="en-US"/>
        </w:rPr>
        <w:t>2</w:t>
      </w:r>
      <w:r w:rsidRPr="002D2463">
        <w:rPr>
          <w:rFonts w:eastAsiaTheme="minorHAnsi"/>
          <w:b/>
          <w:bCs/>
          <w:color w:val="000000"/>
          <w:lang w:val="en-US" w:eastAsia="en-US"/>
        </w:rPr>
        <w:t xml:space="preserve">Khelifi Touhami Fatima, </w:t>
      </w:r>
      <w:r w:rsidRPr="002D2463">
        <w:rPr>
          <w:rFonts w:eastAsiaTheme="minorHAnsi"/>
          <w:b/>
          <w:bCs/>
          <w:color w:val="000000"/>
          <w:vertAlign w:val="superscript"/>
          <w:lang w:val="en-US" w:eastAsia="en-US"/>
        </w:rPr>
        <w:t>3</w:t>
      </w:r>
      <w:r w:rsidRPr="002D2463">
        <w:rPr>
          <w:rFonts w:eastAsiaTheme="minorHAnsi"/>
          <w:b/>
          <w:bCs/>
          <w:color w:val="000000"/>
          <w:lang w:val="en-US" w:eastAsia="en-US"/>
        </w:rPr>
        <w:t xml:space="preserve">Kermandji Mohamed Azed, </w:t>
      </w:r>
      <w:r w:rsidR="00C0554F">
        <w:rPr>
          <w:rFonts w:eastAsiaTheme="minorHAnsi"/>
          <w:b/>
          <w:bCs/>
          <w:color w:val="000000"/>
          <w:vertAlign w:val="superscript"/>
          <w:lang w:val="en-US" w:eastAsia="en-US"/>
        </w:rPr>
        <w:t>4</w:t>
      </w:r>
      <w:r w:rsidRPr="002D2463">
        <w:rPr>
          <w:rFonts w:eastAsiaTheme="minorHAnsi"/>
          <w:b/>
          <w:bCs/>
          <w:color w:val="000000"/>
          <w:lang w:val="en-US" w:eastAsia="en-US"/>
        </w:rPr>
        <w:t>Bellatrache Cherifa</w:t>
      </w:r>
    </w:p>
    <w:p w:rsidR="00035B7D" w:rsidRPr="00035B7D" w:rsidRDefault="00035B7D" w:rsidP="00C0554F">
      <w:pPr>
        <w:autoSpaceDE w:val="0"/>
        <w:autoSpaceDN w:val="0"/>
        <w:adjustRightInd w:val="0"/>
        <w:jc w:val="center"/>
        <w:rPr>
          <w:rFonts w:ascii="Times-Roman" w:hAnsi="Times-Roman" w:cs="Times-Roman"/>
          <w:sz w:val="20"/>
          <w:szCs w:val="20"/>
          <w:lang w:val="en-GB"/>
        </w:rPr>
      </w:pPr>
      <w:r w:rsidRPr="00035B7D">
        <w:rPr>
          <w:rFonts w:ascii="Times-Roman" w:hAnsi="Times-Roman" w:cs="Times-Roman"/>
          <w:sz w:val="20"/>
          <w:szCs w:val="20"/>
          <w:vertAlign w:val="superscript"/>
          <w:lang w:val="en-GB"/>
        </w:rPr>
        <w:t>1</w:t>
      </w:r>
      <w:r w:rsidRPr="00035B7D">
        <w:rPr>
          <w:rFonts w:ascii="Times-Roman" w:hAnsi="Times-Roman" w:cs="Times-Roman"/>
          <w:sz w:val="20"/>
          <w:szCs w:val="20"/>
          <w:lang w:val="en-GB"/>
        </w:rPr>
        <w:t xml:space="preserve">Department of Biology. University of Bejaia. Bejaia. Algeria; </w:t>
      </w:r>
      <w:r w:rsidRPr="00035B7D">
        <w:rPr>
          <w:rFonts w:ascii="Times-Roman" w:hAnsi="Times-Roman" w:cs="Times-Roman"/>
          <w:sz w:val="20"/>
          <w:szCs w:val="20"/>
          <w:vertAlign w:val="superscript"/>
          <w:lang w:val="en-GB"/>
        </w:rPr>
        <w:t>2</w:t>
      </w:r>
      <w:r w:rsidRPr="00035B7D">
        <w:rPr>
          <w:rFonts w:ascii="Times-Roman" w:hAnsi="Times-Roman" w:cs="Times-Roman"/>
          <w:sz w:val="20"/>
          <w:szCs w:val="20"/>
          <w:lang w:val="en-GB"/>
        </w:rPr>
        <w:t xml:space="preserve">Department of Animal Biology. University of Constantine 1. Constantine. Algeria; </w:t>
      </w:r>
      <w:r w:rsidRPr="00035B7D">
        <w:rPr>
          <w:rFonts w:ascii="Times-Roman" w:hAnsi="Times-Roman" w:cs="Times-Roman"/>
          <w:sz w:val="20"/>
          <w:szCs w:val="20"/>
          <w:vertAlign w:val="superscript"/>
          <w:lang w:val="en-GB"/>
        </w:rPr>
        <w:t>3</w:t>
      </w:r>
      <w:r w:rsidRPr="00035B7D">
        <w:rPr>
          <w:rFonts w:ascii="Times-Roman" w:hAnsi="Times-Roman" w:cs="Times-Roman"/>
          <w:sz w:val="20"/>
          <w:szCs w:val="20"/>
          <w:lang w:val="en-GB"/>
        </w:rPr>
        <w:t xml:space="preserve">Department of Veterinary Medicine. University of Constantine 1. Constantine. Algeria; </w:t>
      </w:r>
      <w:r w:rsidR="00C0554F">
        <w:rPr>
          <w:rFonts w:ascii="Times-Roman" w:hAnsi="Times-Roman" w:cs="Times-Roman"/>
          <w:sz w:val="20"/>
          <w:szCs w:val="20"/>
          <w:vertAlign w:val="superscript"/>
          <w:lang w:val="en-GB"/>
        </w:rPr>
        <w:t>4</w:t>
      </w:r>
      <w:r w:rsidRPr="00035B7D">
        <w:rPr>
          <w:rFonts w:ascii="Times-Roman" w:hAnsi="Times-Roman" w:cs="Times-Roman"/>
          <w:sz w:val="20"/>
          <w:szCs w:val="20"/>
          <w:lang w:val="en-GB"/>
        </w:rPr>
        <w:t>Department of Clinical Biochemistry. University of Constantine 1. Constantine. Algeria</w:t>
      </w:r>
    </w:p>
    <w:p w:rsidR="00035B7D" w:rsidRDefault="00035B7D" w:rsidP="0072650E">
      <w:pPr>
        <w:autoSpaceDE w:val="0"/>
        <w:autoSpaceDN w:val="0"/>
        <w:adjustRightInd w:val="0"/>
        <w:spacing w:line="241" w:lineRule="atLeast"/>
        <w:jc w:val="both"/>
        <w:rPr>
          <w:rFonts w:ascii="Times-Roman" w:hAnsi="Times-Roman" w:cs="Times-Roman"/>
          <w:b/>
          <w:bCs/>
          <w:lang w:val="en-GB"/>
        </w:rPr>
      </w:pPr>
    </w:p>
    <w:p w:rsidR="0072650E" w:rsidRPr="0072650E" w:rsidRDefault="0072650E" w:rsidP="0072650E">
      <w:pPr>
        <w:autoSpaceDE w:val="0"/>
        <w:autoSpaceDN w:val="0"/>
        <w:adjustRightInd w:val="0"/>
        <w:spacing w:line="241" w:lineRule="atLeast"/>
        <w:jc w:val="both"/>
        <w:rPr>
          <w:rFonts w:ascii="Times-Roman" w:hAnsi="Times-Roman" w:cs="Times-Roman"/>
          <w:b/>
          <w:bCs/>
          <w:lang w:val="en-GB"/>
        </w:rPr>
      </w:pPr>
      <w:r w:rsidRPr="0072650E">
        <w:rPr>
          <w:rFonts w:ascii="Times-Roman" w:hAnsi="Times-Roman" w:cs="Times-Roman"/>
          <w:b/>
          <w:bCs/>
          <w:lang w:val="en-GB"/>
        </w:rPr>
        <w:t>Abstract</w:t>
      </w:r>
      <w:r w:rsidR="00575A72" w:rsidRPr="00575A72">
        <w:rPr>
          <w:rFonts w:ascii="Times-Roman" w:hAnsi="Times-Roman" w:cs="Times-Roman"/>
          <w:b/>
          <w:bCs/>
          <w:lang w:val="en-GB"/>
        </w:rPr>
        <w:t>:</w:t>
      </w:r>
    </w:p>
    <w:p w:rsidR="005A1E82" w:rsidRDefault="0072650E" w:rsidP="00575A72">
      <w:pPr>
        <w:spacing w:line="276" w:lineRule="auto"/>
        <w:jc w:val="both"/>
        <w:rPr>
          <w:rFonts w:ascii="Times-Roman" w:hAnsi="Times-Roman" w:cs="Times-Roman"/>
          <w:lang w:val="en-GB"/>
        </w:rPr>
      </w:pPr>
      <w:r w:rsidRPr="00575A72">
        <w:rPr>
          <w:rFonts w:ascii="Times-Roman" w:hAnsi="Times-Roman" w:cs="Times-Roman"/>
          <w:b/>
          <w:bCs/>
          <w:lang w:val="en-GB"/>
        </w:rPr>
        <w:t>AIM:</w:t>
      </w:r>
      <w:r w:rsidR="005A1E82" w:rsidRPr="00575A72">
        <w:rPr>
          <w:rFonts w:ascii="Times-Roman" w:hAnsi="Times-Roman" w:cs="Times-Roman"/>
          <w:lang w:val="en-GB"/>
        </w:rPr>
        <w:t xml:space="preserve"> The aim of the present study was to investigate the potential antioxidant and hepatoprotective effects of Centaurea incana on the free radical damage of liver caused by carbon tetrachloride in rats.</w:t>
      </w:r>
    </w:p>
    <w:p w:rsidR="0000032F" w:rsidRPr="00575A72" w:rsidRDefault="0000032F" w:rsidP="00575A72">
      <w:pPr>
        <w:spacing w:line="276" w:lineRule="auto"/>
        <w:jc w:val="both"/>
        <w:rPr>
          <w:rFonts w:ascii="Times-Roman" w:hAnsi="Times-Roman" w:cs="Times-Roman"/>
          <w:lang w:val="en-GB"/>
        </w:rPr>
      </w:pPr>
    </w:p>
    <w:p w:rsidR="00F7102F" w:rsidRPr="00575A72" w:rsidRDefault="0072650E" w:rsidP="00575A72">
      <w:pPr>
        <w:rPr>
          <w:rFonts w:ascii="Times-Roman" w:hAnsi="Times-Roman" w:cs="Times-Roman"/>
          <w:lang w:val="en-GB"/>
        </w:rPr>
      </w:pPr>
      <w:r w:rsidRPr="00575A72">
        <w:rPr>
          <w:rFonts w:ascii="Times-Roman" w:hAnsi="Times-Roman" w:cs="Times-Roman"/>
          <w:lang w:val="en-GB"/>
        </w:rPr>
        <w:t xml:space="preserve"> </w:t>
      </w:r>
      <w:r w:rsidR="00F7102F" w:rsidRPr="00575A72">
        <w:rPr>
          <w:rFonts w:ascii="Times-Roman" w:hAnsi="Times-Roman" w:cs="Times-Roman"/>
          <w:b/>
          <w:bCs/>
          <w:lang w:val="en-GB"/>
        </w:rPr>
        <w:t>METHODS:</w:t>
      </w:r>
    </w:p>
    <w:p w:rsidR="00F7102F" w:rsidRPr="00575A72" w:rsidRDefault="00F7102F" w:rsidP="00575A72">
      <w:pPr>
        <w:autoSpaceDE w:val="0"/>
        <w:autoSpaceDN w:val="0"/>
        <w:adjustRightInd w:val="0"/>
        <w:spacing w:line="276" w:lineRule="auto"/>
        <w:jc w:val="both"/>
        <w:rPr>
          <w:rFonts w:ascii="Times-Roman" w:hAnsi="Times-Roman" w:cs="Times-Roman"/>
          <w:lang w:val="en-GB"/>
        </w:rPr>
      </w:pPr>
      <w:r w:rsidRPr="00575A72">
        <w:rPr>
          <w:rFonts w:ascii="Times-Roman" w:hAnsi="Times-Roman" w:cs="Times-Roman"/>
          <w:lang w:val="en-GB"/>
        </w:rPr>
        <w:t xml:space="preserve">For study of preventive effect of extract methanolic of Centaurea incana  on CCL4 –induced hepatotoxicity, our study carry out on </w:t>
      </w:r>
      <w:r w:rsidR="001F4A7F" w:rsidRPr="00575A72">
        <w:rPr>
          <w:rFonts w:ascii="Times-Roman" w:hAnsi="Times-Roman" w:cs="Times-Roman"/>
          <w:lang w:val="en-GB"/>
        </w:rPr>
        <w:t xml:space="preserve">rats </w:t>
      </w:r>
      <w:r w:rsidRPr="00575A72">
        <w:rPr>
          <w:rFonts w:ascii="Times-Roman" w:hAnsi="Times-Roman" w:cs="Times-Roman"/>
          <w:lang w:val="en-GB"/>
        </w:rPr>
        <w:t>as follows:</w:t>
      </w:r>
    </w:p>
    <w:p w:rsidR="00F7102F" w:rsidRDefault="00F7102F" w:rsidP="00575A72">
      <w:pPr>
        <w:spacing w:line="276" w:lineRule="auto"/>
        <w:jc w:val="both"/>
        <w:rPr>
          <w:rFonts w:ascii="Times-Roman" w:hAnsi="Times-Roman" w:cs="Times-Roman"/>
          <w:lang w:val="en-GB"/>
        </w:rPr>
      </w:pPr>
      <w:r w:rsidRPr="00C751EE">
        <w:rPr>
          <w:rFonts w:ascii="Times-Roman" w:hAnsi="Times-Roman" w:cs="Times-Roman"/>
          <w:lang w:val="en-GB"/>
        </w:rPr>
        <w:t>The animals were randomly divided in</w:t>
      </w:r>
      <w:r w:rsidR="00C0554F">
        <w:rPr>
          <w:rFonts w:ascii="Times-Roman" w:hAnsi="Times-Roman" w:cs="Times-Roman"/>
          <w:lang w:val="en-GB"/>
        </w:rPr>
        <w:t xml:space="preserve"> </w:t>
      </w:r>
      <w:r w:rsidRPr="00C751EE">
        <w:rPr>
          <w:rFonts w:ascii="Times-Roman" w:hAnsi="Times-Roman" w:cs="Times-Roman"/>
          <w:lang w:val="en-GB"/>
        </w:rPr>
        <w:t>to</w:t>
      </w:r>
      <w:r w:rsidR="001F4A7F">
        <w:rPr>
          <w:rFonts w:ascii="Times-Roman" w:hAnsi="Times-Roman" w:cs="Times-Roman"/>
          <w:lang w:val="en-GB"/>
        </w:rPr>
        <w:t xml:space="preserve"> 4</w:t>
      </w:r>
      <w:r w:rsidRPr="00575A72">
        <w:rPr>
          <w:rFonts w:ascii="Times-Roman" w:hAnsi="Times-Roman" w:cs="Times-Roman"/>
          <w:lang w:val="en-GB"/>
        </w:rPr>
        <w:t xml:space="preserve"> different groups comprising 7 animals each</w:t>
      </w:r>
      <w:r w:rsidRPr="00C751EE">
        <w:rPr>
          <w:rFonts w:ascii="Times-Roman" w:hAnsi="Times-Roman" w:cs="Times-Roman"/>
          <w:lang w:val="en-GB"/>
        </w:rPr>
        <w:t>. Group I served as controls and received an injection of vehicle (olive oil) alone; Acute liver injury in rats was induced by a single intraperitoneal injection with CCl</w:t>
      </w:r>
      <w:r w:rsidRPr="00575A72">
        <w:rPr>
          <w:rFonts w:ascii="Times-Roman" w:hAnsi="Times-Roman" w:cs="Times-Roman"/>
          <w:lang w:val="en-GB"/>
        </w:rPr>
        <w:t>4</w:t>
      </w:r>
      <w:r w:rsidRPr="00C751EE">
        <w:rPr>
          <w:rFonts w:ascii="Times-Roman" w:hAnsi="Times-Roman" w:cs="Times-Roman"/>
          <w:lang w:val="en-GB"/>
        </w:rPr>
        <w:t xml:space="preserve"> dissolved in an equal volume of olive oil at a dose of 3 mL/kg body weight, group II, which is well documented to induce hepatotoxicity. </w:t>
      </w:r>
      <w:r w:rsidRPr="00575A72">
        <w:rPr>
          <w:rFonts w:ascii="Times-Roman" w:hAnsi="Times-Roman" w:cs="Times-Roman"/>
          <w:lang w:val="en-GB"/>
        </w:rPr>
        <w:t xml:space="preserve">Group III was administered Methanolic extract of </w:t>
      </w:r>
      <w:r w:rsidR="001F4A7F" w:rsidRPr="00575A72">
        <w:rPr>
          <w:rFonts w:ascii="Times-Roman" w:hAnsi="Times-Roman" w:cs="Times-Roman"/>
          <w:lang w:val="en-GB"/>
        </w:rPr>
        <w:t xml:space="preserve">Centaurea incana </w:t>
      </w:r>
      <w:r w:rsidRPr="00575A72">
        <w:rPr>
          <w:rFonts w:ascii="Times-Roman" w:hAnsi="Times-Roman" w:cs="Times-Roman"/>
          <w:lang w:val="en-GB"/>
        </w:rPr>
        <w:t xml:space="preserve"> at  a dose of 500 mg/kg  alone. In group IV was administered Methanolic extract of </w:t>
      </w:r>
      <w:r w:rsidR="001F4A7F" w:rsidRPr="00575A72">
        <w:rPr>
          <w:rFonts w:ascii="Times-Roman" w:hAnsi="Times-Roman" w:cs="Times-Roman"/>
          <w:lang w:val="en-GB"/>
        </w:rPr>
        <w:t>Centaurea incana</w:t>
      </w:r>
      <w:r w:rsidRPr="00575A72">
        <w:rPr>
          <w:rFonts w:ascii="Times-Roman" w:hAnsi="Times-Roman" w:cs="Times-Roman"/>
          <w:lang w:val="en-GB"/>
        </w:rPr>
        <w:t xml:space="preserve">  at  a dose of 500 mg/kg  and was injected by CCl4 </w:t>
      </w:r>
      <w:r w:rsidRPr="00C751EE">
        <w:rPr>
          <w:rFonts w:ascii="Times-Roman" w:hAnsi="Times-Roman" w:cs="Times-Roman"/>
          <w:lang w:val="en-GB"/>
        </w:rPr>
        <w:t>i.p , at a dose of 3ml/kg body weight.</w:t>
      </w:r>
      <w:r w:rsidRPr="00575A72">
        <w:rPr>
          <w:rFonts w:ascii="Times-Roman" w:hAnsi="Times-Roman" w:cs="Times-Roman"/>
          <w:lang w:val="en-GB"/>
        </w:rPr>
        <w:t xml:space="preserve"> After 4 weeks of treatment, </w:t>
      </w:r>
      <w:r w:rsidRPr="00C751EE">
        <w:rPr>
          <w:rFonts w:ascii="Times-Roman" w:hAnsi="Times-Roman" w:cs="Times-Roman"/>
          <w:lang w:val="en-GB"/>
        </w:rPr>
        <w:t>All of the animals were sacrificed 24 h after administration of CCl</w:t>
      </w:r>
      <w:r w:rsidRPr="00575A72">
        <w:rPr>
          <w:rFonts w:ascii="Times-Roman" w:hAnsi="Times-Roman" w:cs="Times-Roman"/>
          <w:lang w:val="en-GB"/>
        </w:rPr>
        <w:t>4</w:t>
      </w:r>
      <w:r w:rsidRPr="00C751EE">
        <w:rPr>
          <w:rFonts w:ascii="Times-Roman" w:hAnsi="Times-Roman" w:cs="Times-Roman"/>
          <w:lang w:val="en-GB"/>
        </w:rPr>
        <w:t xml:space="preserve">, </w:t>
      </w:r>
      <w:r w:rsidRPr="00575A72">
        <w:rPr>
          <w:rFonts w:ascii="Times-Roman" w:hAnsi="Times-Roman" w:cs="Times-Roman"/>
          <w:lang w:val="en-GB"/>
        </w:rPr>
        <w:t xml:space="preserve">and blood was collected, serum separated and stored at </w:t>
      </w:r>
      <w:r w:rsidRPr="00575A72">
        <w:rPr>
          <w:rFonts w:ascii="Times-Roman" w:hAnsi="Times-Roman" w:cs="Times-Roman" w:hint="cs"/>
          <w:lang w:val="en-GB"/>
        </w:rPr>
        <w:t>−</w:t>
      </w:r>
      <w:r w:rsidRPr="00575A72">
        <w:rPr>
          <w:rFonts w:ascii="Times-Roman" w:hAnsi="Times-Roman" w:cs="Times-Roman"/>
          <w:lang w:val="en-GB"/>
        </w:rPr>
        <w:t xml:space="preserve">20 </w:t>
      </w:r>
      <w:r w:rsidRPr="00575A72">
        <w:rPr>
          <w:rFonts w:ascii="Times-Roman" w:hAnsi="Times-Roman" w:cs="Times-Roman" w:hint="cs"/>
          <w:lang w:val="en-GB"/>
        </w:rPr>
        <w:t>◦</w:t>
      </w:r>
      <w:r w:rsidRPr="00575A72">
        <w:rPr>
          <w:rFonts w:ascii="Times-Roman" w:hAnsi="Times-Roman" w:cs="Times-Roman"/>
          <w:lang w:val="en-GB"/>
        </w:rPr>
        <w:t>C.</w:t>
      </w:r>
    </w:p>
    <w:p w:rsidR="00575A72" w:rsidRPr="00575A72" w:rsidRDefault="00575A72" w:rsidP="00575A72">
      <w:pPr>
        <w:spacing w:line="276" w:lineRule="auto"/>
        <w:jc w:val="both"/>
        <w:rPr>
          <w:rFonts w:ascii="Times-Roman" w:hAnsi="Times-Roman" w:cs="Times-Roman"/>
          <w:lang w:val="en-GB"/>
        </w:rPr>
      </w:pPr>
    </w:p>
    <w:p w:rsidR="001F4A7F" w:rsidRPr="00575A72" w:rsidRDefault="001F4A7F" w:rsidP="00575A72">
      <w:pPr>
        <w:spacing w:line="276" w:lineRule="auto"/>
        <w:jc w:val="both"/>
        <w:rPr>
          <w:rFonts w:ascii="Times-Roman" w:hAnsi="Times-Roman" w:cs="Times-Roman"/>
          <w:lang w:val="en-GB"/>
        </w:rPr>
      </w:pPr>
      <w:r w:rsidRPr="00575A72">
        <w:rPr>
          <w:rFonts w:ascii="Times-Roman" w:hAnsi="Times-Roman" w:cs="Times-Roman"/>
          <w:b/>
          <w:bCs/>
          <w:lang w:val="en-GB"/>
        </w:rPr>
        <w:t>RESULTS:</w:t>
      </w:r>
      <w:r w:rsidRPr="00575A72">
        <w:rPr>
          <w:rFonts w:ascii="Times-Roman" w:hAnsi="Times-Roman" w:cs="Times-Roman"/>
          <w:lang w:val="en-GB"/>
        </w:rPr>
        <w:t xml:space="preserve"> </w:t>
      </w:r>
      <w:r w:rsidR="005A1E82" w:rsidRPr="00575A72">
        <w:rPr>
          <w:rFonts w:ascii="Times-Roman" w:hAnsi="Times-Roman" w:cs="Times-Roman"/>
          <w:lang w:val="en-GB"/>
        </w:rPr>
        <w:t xml:space="preserve"> </w:t>
      </w:r>
      <w:r w:rsidRPr="00C751EE">
        <w:rPr>
          <w:rFonts w:ascii="Times-Roman" w:hAnsi="Times-Roman" w:cs="Times-Roman"/>
          <w:lang w:val="en-GB"/>
        </w:rPr>
        <w:t>The single intraperitoneal injection with CCl</w:t>
      </w:r>
      <w:r w:rsidRPr="00575A72">
        <w:rPr>
          <w:rFonts w:ascii="Times-Roman" w:hAnsi="Times-Roman" w:cs="Times-Roman"/>
          <w:lang w:val="en-GB"/>
        </w:rPr>
        <w:t>4</w:t>
      </w:r>
      <w:r w:rsidRPr="00C751EE">
        <w:rPr>
          <w:rFonts w:ascii="Times-Roman" w:hAnsi="Times-Roman" w:cs="Times-Roman"/>
          <w:lang w:val="en-GB"/>
        </w:rPr>
        <w:t xml:space="preserve"> caused severe hepatotoxicity in rats, as evidenced by the significant elevation of serum AST and ALT activities after the administration of CCl</w:t>
      </w:r>
      <w:r w:rsidRPr="00575A72">
        <w:rPr>
          <w:rFonts w:ascii="Times-Roman" w:hAnsi="Times-Roman" w:cs="Times-Roman"/>
          <w:lang w:val="en-GB"/>
        </w:rPr>
        <w:t>4</w:t>
      </w:r>
      <w:r w:rsidRPr="00C751EE">
        <w:rPr>
          <w:rFonts w:ascii="Times-Roman" w:hAnsi="Times-Roman" w:cs="Times-Roman"/>
          <w:lang w:val="en-GB"/>
        </w:rPr>
        <w:t>.</w:t>
      </w:r>
      <w:r w:rsidR="005A1E82" w:rsidRPr="00575A72">
        <w:rPr>
          <w:rFonts w:ascii="Times-Roman" w:hAnsi="Times-Roman" w:cs="Times-Roman"/>
          <w:lang w:val="en-GB"/>
        </w:rPr>
        <w:t xml:space="preserve"> </w:t>
      </w:r>
      <w:r w:rsidR="005A1E82" w:rsidRPr="00C751EE">
        <w:rPr>
          <w:rFonts w:ascii="Times-Roman" w:hAnsi="Times-Roman" w:cs="Times-Roman"/>
          <w:lang w:val="en-GB"/>
        </w:rPr>
        <w:t>the concentration of MDA, an end product of lipid peroxidation, in the rats treated with CCl</w:t>
      </w:r>
      <w:r w:rsidR="005A1E82" w:rsidRPr="00575A72">
        <w:rPr>
          <w:rFonts w:ascii="Times-Roman" w:hAnsi="Times-Roman" w:cs="Times-Roman"/>
          <w:lang w:val="en-GB"/>
        </w:rPr>
        <w:t>4</w:t>
      </w:r>
      <w:r w:rsidR="005A1E82" w:rsidRPr="00C751EE">
        <w:rPr>
          <w:rFonts w:ascii="Times-Roman" w:hAnsi="Times-Roman" w:cs="Times-Roman"/>
          <w:lang w:val="en-GB"/>
        </w:rPr>
        <w:t xml:space="preserve"> was increased 2.7-fold when compared with the vehicle control rats.</w:t>
      </w:r>
      <w:r w:rsidR="005A1E82" w:rsidRPr="00575A72">
        <w:rPr>
          <w:rFonts w:ascii="Times-Roman" w:hAnsi="Times-Roman" w:cs="Times-Roman"/>
          <w:lang w:val="en-GB"/>
        </w:rPr>
        <w:t xml:space="preserve"> </w:t>
      </w:r>
      <w:r w:rsidRPr="00C751EE">
        <w:rPr>
          <w:rFonts w:ascii="Times-Roman" w:hAnsi="Times-Roman" w:cs="Times-Roman"/>
          <w:lang w:val="en-GB"/>
        </w:rPr>
        <w:t xml:space="preserve">However, pre-treatment with </w:t>
      </w:r>
      <w:r w:rsidRPr="00575A72">
        <w:rPr>
          <w:rFonts w:ascii="Times-Roman" w:hAnsi="Times-Roman" w:cs="Times-Roman"/>
          <w:lang w:val="en-GB"/>
        </w:rPr>
        <w:t xml:space="preserve">Centaurea incana </w:t>
      </w:r>
      <w:r w:rsidRPr="00C751EE">
        <w:rPr>
          <w:rFonts w:ascii="Times-Roman" w:hAnsi="Times-Roman" w:cs="Times-Roman"/>
          <w:lang w:val="en-GB"/>
        </w:rPr>
        <w:t>significantly prevented the elevation of serum AST and ALT activities induced by CCl</w:t>
      </w:r>
      <w:r w:rsidRPr="00575A72">
        <w:rPr>
          <w:rFonts w:ascii="Times-Roman" w:hAnsi="Times-Roman" w:cs="Times-Roman"/>
          <w:lang w:val="en-GB"/>
        </w:rPr>
        <w:t>4</w:t>
      </w:r>
      <w:r w:rsidRPr="00C751EE">
        <w:rPr>
          <w:rFonts w:ascii="Times-Roman" w:hAnsi="Times-Roman" w:cs="Times-Roman"/>
          <w:lang w:val="en-GB"/>
        </w:rPr>
        <w:t xml:space="preserve"> treatment</w:t>
      </w:r>
      <w:r>
        <w:rPr>
          <w:rFonts w:ascii="Times-Roman" w:hAnsi="Times-Roman" w:cs="Times-Roman"/>
          <w:lang w:val="en-GB"/>
        </w:rPr>
        <w:t>.</w:t>
      </w:r>
      <w:r w:rsidRPr="00C751EE">
        <w:rPr>
          <w:rFonts w:ascii="Times-Roman" w:hAnsi="Times-Roman" w:cs="Times-Roman"/>
          <w:lang w:val="en-GB"/>
        </w:rPr>
        <w:t xml:space="preserve"> </w:t>
      </w:r>
      <w:r w:rsidR="005A1E82">
        <w:rPr>
          <w:rFonts w:ascii="Times-Roman" w:hAnsi="Times-Roman" w:cs="Times-Roman"/>
          <w:lang w:val="en-GB"/>
        </w:rPr>
        <w:t xml:space="preserve"> </w:t>
      </w:r>
      <w:r w:rsidRPr="00C751EE">
        <w:rPr>
          <w:rFonts w:ascii="Times-Roman" w:hAnsi="Times-Roman" w:cs="Times-Roman"/>
          <w:lang w:val="en-GB"/>
        </w:rPr>
        <w:t xml:space="preserve">Consistent with the serum AST and ALT activities, pre-treatment with </w:t>
      </w:r>
      <w:r w:rsidRPr="00575A72">
        <w:rPr>
          <w:rFonts w:ascii="Times-Roman" w:hAnsi="Times-Roman" w:cs="Times-Roman"/>
          <w:lang w:val="en-GB"/>
        </w:rPr>
        <w:t xml:space="preserve">Centaurea incana </w:t>
      </w:r>
      <w:r w:rsidRPr="00C751EE">
        <w:rPr>
          <w:rFonts w:ascii="Times-Roman" w:hAnsi="Times-Roman" w:cs="Times-Roman"/>
          <w:lang w:val="en-GB"/>
        </w:rPr>
        <w:t>for 4 weeks</w:t>
      </w:r>
      <w:r>
        <w:rPr>
          <w:rFonts w:ascii="Times-Roman" w:hAnsi="Times-Roman" w:cs="Times-Roman"/>
          <w:lang w:val="en-GB"/>
        </w:rPr>
        <w:t xml:space="preserve"> to the rats </w:t>
      </w:r>
      <w:r w:rsidRPr="00C751EE">
        <w:rPr>
          <w:rFonts w:ascii="Times-Roman" w:hAnsi="Times-Roman" w:cs="Times-Roman"/>
          <w:lang w:val="en-GB"/>
        </w:rPr>
        <w:t>resulted in a significant decrease in the concentration of hepatic MDA when compared with the CCl</w:t>
      </w:r>
      <w:r w:rsidRPr="00575A72">
        <w:rPr>
          <w:rFonts w:ascii="Times-Roman" w:hAnsi="Times-Roman" w:cs="Times-Roman"/>
          <w:lang w:val="en-GB"/>
        </w:rPr>
        <w:t>4</w:t>
      </w:r>
      <w:r w:rsidRPr="00C751EE">
        <w:rPr>
          <w:rFonts w:ascii="Times-Roman" w:hAnsi="Times-Roman" w:cs="Times-Roman"/>
          <w:lang w:val="en-GB"/>
        </w:rPr>
        <w:t xml:space="preserve"> group.</w:t>
      </w:r>
    </w:p>
    <w:p w:rsidR="005A1E82" w:rsidRPr="0052305E" w:rsidRDefault="005A1E82" w:rsidP="0052305E">
      <w:pPr>
        <w:rPr>
          <w:rFonts w:ascii="Times-Roman" w:hAnsi="Times-Roman" w:cs="Times-Roman"/>
          <w:lang w:val="en-GB"/>
        </w:rPr>
      </w:pPr>
    </w:p>
    <w:p w:rsidR="005A1E82" w:rsidRDefault="005A1E82" w:rsidP="002D2463">
      <w:pPr>
        <w:spacing w:line="276" w:lineRule="auto"/>
        <w:jc w:val="both"/>
        <w:rPr>
          <w:rFonts w:ascii="Times-Roman" w:hAnsi="Times-Roman" w:cs="Times-Roman"/>
          <w:lang w:val="en-GB"/>
        </w:rPr>
      </w:pPr>
      <w:r w:rsidRPr="00575A72">
        <w:rPr>
          <w:rFonts w:ascii="Times-Roman" w:hAnsi="Times-Roman" w:cs="Times-Roman"/>
          <w:b/>
          <w:bCs/>
          <w:lang w:val="en-GB"/>
        </w:rPr>
        <w:t>In conclusion,</w:t>
      </w:r>
      <w:r w:rsidRPr="00575A72">
        <w:rPr>
          <w:rFonts w:ascii="Times-Roman" w:hAnsi="Times-Roman" w:cs="Times-Roman"/>
          <w:lang w:val="en-GB"/>
        </w:rPr>
        <w:t xml:space="preserve"> our investigation provided convincing data that Centaurea incana </w:t>
      </w:r>
      <w:r w:rsidRPr="005A1E82">
        <w:rPr>
          <w:rFonts w:ascii="Times-Roman" w:hAnsi="Times-Roman" w:cs="Times-Roman"/>
          <w:lang w:val="en-GB"/>
        </w:rPr>
        <w:t>decrease the lipid per-oxidation and liver enzymes, and increase the anti-oxidant defense system activity in the CCl4-treated rats.</w:t>
      </w:r>
      <w:r w:rsidR="0052305E">
        <w:rPr>
          <w:rFonts w:ascii="Times-Roman" w:hAnsi="Times-Roman" w:cs="Times-Roman"/>
          <w:lang w:val="en-GB"/>
        </w:rPr>
        <w:t xml:space="preserve"> </w:t>
      </w:r>
      <w:r w:rsidRPr="00575A72">
        <w:rPr>
          <w:rFonts w:ascii="Times-Roman" w:hAnsi="Times-Roman" w:cs="Times-Roman"/>
          <w:lang w:val="en-GB"/>
        </w:rPr>
        <w:t xml:space="preserve">The mechanisms underlying hepatoprotection of the methanolic extract of Centaurea incana may be related to both its radical scavenging properties and indicate effects as a regulator of antioxidative systems. </w:t>
      </w:r>
    </w:p>
    <w:p w:rsidR="00702284" w:rsidRPr="0052305E" w:rsidRDefault="00702284" w:rsidP="002D2463">
      <w:pPr>
        <w:spacing w:line="276" w:lineRule="auto"/>
        <w:jc w:val="both"/>
        <w:rPr>
          <w:rFonts w:ascii="Times-Roman" w:hAnsi="Times-Roman" w:cs="Times-Roman"/>
          <w:lang w:val="en-GB"/>
        </w:rPr>
      </w:pPr>
    </w:p>
    <w:p w:rsidR="00F7102F" w:rsidRPr="002D2463" w:rsidRDefault="002D2463" w:rsidP="002D2463">
      <w:pPr>
        <w:pStyle w:val="Default"/>
        <w:spacing w:line="276" w:lineRule="auto"/>
        <w:rPr>
          <w:rFonts w:ascii="Times-Roman" w:hAnsi="Times-Roman" w:cs="Times-Roman"/>
          <w:color w:val="auto"/>
          <w:lang w:val="en-GB"/>
        </w:rPr>
      </w:pPr>
      <w:r w:rsidRPr="002D2463">
        <w:rPr>
          <w:rFonts w:ascii="Times-Roman" w:hAnsi="Times-Roman" w:cs="Times-Roman"/>
          <w:color w:val="auto"/>
          <w:lang w:val="en-GB"/>
        </w:rPr>
        <w:t xml:space="preserve"> </w:t>
      </w:r>
      <w:r w:rsidRPr="002D2463">
        <w:rPr>
          <w:rFonts w:ascii="Times-Roman" w:hAnsi="Times-Roman" w:cs="Times-Roman"/>
          <w:b/>
          <w:bCs/>
          <w:color w:val="auto"/>
          <w:lang w:val="en-GB"/>
        </w:rPr>
        <w:t>Key words:</w:t>
      </w:r>
      <w:r w:rsidRPr="002D2463">
        <w:rPr>
          <w:rFonts w:ascii="Times-Roman" w:hAnsi="Times-Roman" w:cs="Times-Roman"/>
          <w:color w:val="auto"/>
          <w:lang w:val="en-GB"/>
        </w:rPr>
        <w:t xml:space="preserve"> CCl4; </w:t>
      </w:r>
      <w:r w:rsidRPr="00575A72">
        <w:rPr>
          <w:rFonts w:ascii="Times-Roman" w:hAnsi="Times-Roman" w:cs="Times-Roman"/>
          <w:color w:val="auto"/>
          <w:lang w:val="en-GB"/>
        </w:rPr>
        <w:t>Centaurea incana</w:t>
      </w:r>
      <w:r w:rsidRPr="002D2463">
        <w:rPr>
          <w:rFonts w:ascii="Times-Roman" w:hAnsi="Times-Roman" w:cs="Times-Roman"/>
          <w:color w:val="auto"/>
          <w:lang w:val="en-GB"/>
        </w:rPr>
        <w:t>; Lipid peroxidation; Antioxidant enzymes; Rat</w:t>
      </w:r>
    </w:p>
    <w:sectPr w:rsidR="00F7102F" w:rsidRPr="002D2463" w:rsidSect="00702284">
      <w:pgSz w:w="12240" w:h="15840"/>
      <w:pgMar w:top="1440" w:right="1440" w:bottom="1276"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65063" w:rsidRDefault="00465063" w:rsidP="0000032F">
      <w:r>
        <w:separator/>
      </w:r>
    </w:p>
  </w:endnote>
  <w:endnote w:type="continuationSeparator" w:id="1">
    <w:p w:rsidR="00465063" w:rsidRDefault="00465063" w:rsidP="0000032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altName w:val="Century Gothic"/>
    <w:panose1 w:val="020B0502020202020204"/>
    <w:charset w:val="00"/>
    <w:family w:val="swiss"/>
    <w:pitch w:val="variable"/>
    <w:sig w:usb0="00000287" w:usb1="00000000" w:usb2="00000000" w:usb3="00000000" w:csb0="0000009F" w:csb1="00000000"/>
  </w:font>
  <w:font w:name="Times-Roman">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65063" w:rsidRDefault="00465063" w:rsidP="0000032F">
      <w:r>
        <w:separator/>
      </w:r>
    </w:p>
  </w:footnote>
  <w:footnote w:type="continuationSeparator" w:id="1">
    <w:p w:rsidR="00465063" w:rsidRDefault="00465063" w:rsidP="0000032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defaultTabStop w:val="720"/>
  <w:characterSpacingControl w:val="doNotCompress"/>
  <w:footnotePr>
    <w:footnote w:id="0"/>
    <w:footnote w:id="1"/>
  </w:footnotePr>
  <w:endnotePr>
    <w:endnote w:id="0"/>
    <w:endnote w:id="1"/>
  </w:endnotePr>
  <w:compat/>
  <w:rsids>
    <w:rsidRoot w:val="0072650E"/>
    <w:rsid w:val="0000032F"/>
    <w:rsid w:val="00035B7D"/>
    <w:rsid w:val="00161A03"/>
    <w:rsid w:val="00182131"/>
    <w:rsid w:val="001F4A7F"/>
    <w:rsid w:val="002D2463"/>
    <w:rsid w:val="00465063"/>
    <w:rsid w:val="0052305E"/>
    <w:rsid w:val="005409A9"/>
    <w:rsid w:val="00575A72"/>
    <w:rsid w:val="005A1E82"/>
    <w:rsid w:val="00702284"/>
    <w:rsid w:val="0072650E"/>
    <w:rsid w:val="009B7160"/>
    <w:rsid w:val="00AA79CB"/>
    <w:rsid w:val="00B376B5"/>
    <w:rsid w:val="00C0554F"/>
    <w:rsid w:val="00E71CEF"/>
    <w:rsid w:val="00EB0110"/>
    <w:rsid w:val="00F7102F"/>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650E"/>
    <w:pPr>
      <w:spacing w:after="0" w:line="240" w:lineRule="auto"/>
    </w:pPr>
    <w:rPr>
      <w:rFonts w:ascii="Times New Roman" w:eastAsia="Times New Roman" w:hAnsi="Times New Roman" w:cs="Times New Roman"/>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72650E"/>
    <w:pPr>
      <w:autoSpaceDE w:val="0"/>
      <w:autoSpaceDN w:val="0"/>
      <w:adjustRightInd w:val="0"/>
      <w:spacing w:after="0" w:line="240" w:lineRule="auto"/>
    </w:pPr>
    <w:rPr>
      <w:rFonts w:ascii="Tahoma" w:hAnsi="Tahoma" w:cs="Tahoma"/>
      <w:color w:val="000000"/>
      <w:sz w:val="24"/>
      <w:szCs w:val="24"/>
    </w:rPr>
  </w:style>
  <w:style w:type="paragraph" w:customStyle="1" w:styleId="Pa2">
    <w:name w:val="Pa2"/>
    <w:basedOn w:val="Default"/>
    <w:next w:val="Default"/>
    <w:uiPriority w:val="99"/>
    <w:rsid w:val="0072650E"/>
    <w:pPr>
      <w:spacing w:line="241" w:lineRule="atLeast"/>
    </w:pPr>
    <w:rPr>
      <w:rFonts w:ascii="Century Gothic" w:hAnsi="Century Gothic" w:cstheme="minorBidi"/>
      <w:color w:val="auto"/>
    </w:rPr>
  </w:style>
  <w:style w:type="character" w:customStyle="1" w:styleId="A9">
    <w:name w:val="A9"/>
    <w:uiPriority w:val="99"/>
    <w:rsid w:val="0072650E"/>
    <w:rPr>
      <w:rFonts w:ascii="Tahoma" w:hAnsi="Tahoma" w:cs="Tahoma"/>
      <w:color w:val="000000"/>
      <w:sz w:val="11"/>
      <w:szCs w:val="11"/>
    </w:rPr>
  </w:style>
  <w:style w:type="paragraph" w:styleId="En-tte">
    <w:name w:val="header"/>
    <w:basedOn w:val="Normal"/>
    <w:link w:val="En-tteCar"/>
    <w:uiPriority w:val="99"/>
    <w:semiHidden/>
    <w:unhideWhenUsed/>
    <w:rsid w:val="0000032F"/>
    <w:pPr>
      <w:tabs>
        <w:tab w:val="center" w:pos="4680"/>
        <w:tab w:val="right" w:pos="9360"/>
      </w:tabs>
    </w:pPr>
  </w:style>
  <w:style w:type="character" w:customStyle="1" w:styleId="En-tteCar">
    <w:name w:val="En-tête Car"/>
    <w:basedOn w:val="Policepardfaut"/>
    <w:link w:val="En-tte"/>
    <w:uiPriority w:val="99"/>
    <w:semiHidden/>
    <w:rsid w:val="0000032F"/>
    <w:rPr>
      <w:rFonts w:ascii="Times New Roman" w:eastAsia="Times New Roman" w:hAnsi="Times New Roman" w:cs="Times New Roman"/>
      <w:sz w:val="24"/>
      <w:szCs w:val="24"/>
      <w:lang w:val="fr-FR" w:eastAsia="fr-FR"/>
    </w:rPr>
  </w:style>
  <w:style w:type="paragraph" w:styleId="Pieddepage">
    <w:name w:val="footer"/>
    <w:basedOn w:val="Normal"/>
    <w:link w:val="PieddepageCar"/>
    <w:uiPriority w:val="99"/>
    <w:semiHidden/>
    <w:unhideWhenUsed/>
    <w:rsid w:val="0000032F"/>
    <w:pPr>
      <w:tabs>
        <w:tab w:val="center" w:pos="4680"/>
        <w:tab w:val="right" w:pos="9360"/>
      </w:tabs>
    </w:pPr>
  </w:style>
  <w:style w:type="character" w:customStyle="1" w:styleId="PieddepageCar">
    <w:name w:val="Pied de page Car"/>
    <w:basedOn w:val="Policepardfaut"/>
    <w:link w:val="Pieddepage"/>
    <w:uiPriority w:val="99"/>
    <w:semiHidden/>
    <w:rsid w:val="0000032F"/>
    <w:rPr>
      <w:rFonts w:ascii="Times New Roman" w:eastAsia="Times New Roman" w:hAnsi="Times New Roman" w:cs="Times New Roman"/>
      <w:sz w:val="24"/>
      <w:szCs w:val="24"/>
      <w:lang w:val="fr-FR" w:eastAsia="fr-F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Pages>
  <Words>438</Words>
  <Characters>2498</Characters>
  <Application>Microsoft Office Word</Application>
  <DocSecurity>0</DocSecurity>
  <Lines>20</Lines>
  <Paragraphs>5</Paragraphs>
  <ScaleCrop>false</ScaleCrop>
  <HeadingPairs>
    <vt:vector size="2" baseType="variant">
      <vt:variant>
        <vt:lpstr>Titre</vt:lpstr>
      </vt:variant>
      <vt:variant>
        <vt:i4>1</vt:i4>
      </vt:variant>
    </vt:vector>
  </HeadingPairs>
  <TitlesOfParts>
    <vt:vector size="1" baseType="lpstr">
      <vt:lpstr/>
    </vt:vector>
  </TitlesOfParts>
  <Company>Sweet</Company>
  <LinksUpToDate>false</LinksUpToDate>
  <CharactersWithSpaces>2931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Bouzid</dc:creator>
  <cp:lastModifiedBy>Bouzid</cp:lastModifiedBy>
  <cp:revision>7</cp:revision>
  <dcterms:created xsi:type="dcterms:W3CDTF">2017-04-08T03:14:00Z</dcterms:created>
  <dcterms:modified xsi:type="dcterms:W3CDTF">2017-04-10T22:52:00Z</dcterms:modified>
</cp:coreProperties>
</file>