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A58" w:rsidRDefault="00E03A58" w:rsidP="00E03A58">
      <w:pPr>
        <w:pStyle w:val="Default"/>
        <w:rPr>
          <w:rFonts w:ascii="Times" w:hAnsi="Times" w:cs="Times"/>
          <w:b/>
          <w:bCs/>
          <w:color w:val="4F81BD" w:themeColor="accent1"/>
          <w:sz w:val="36"/>
          <w:szCs w:val="36"/>
        </w:rPr>
      </w:pPr>
      <w:r w:rsidRPr="00E03A58">
        <w:rPr>
          <w:rFonts w:ascii="Times" w:hAnsi="Times" w:cs="Times"/>
          <w:b/>
          <w:bCs/>
          <w:color w:val="4F81BD" w:themeColor="accent1"/>
          <w:sz w:val="36"/>
          <w:szCs w:val="36"/>
        </w:rPr>
        <w:t>Preparation and a</w:t>
      </w:r>
      <w:r w:rsidRPr="00E03A58">
        <w:rPr>
          <w:b/>
          <w:bCs/>
          <w:color w:val="4F81BD" w:themeColor="accent1"/>
          <w:sz w:val="32"/>
          <w:szCs w:val="32"/>
        </w:rPr>
        <w:t>nti-Pneumococcal activity</w:t>
      </w:r>
      <w:r w:rsidRPr="00E03A58">
        <w:rPr>
          <w:rFonts w:ascii="Times" w:hAnsi="Times" w:cs="Times"/>
          <w:b/>
          <w:bCs/>
          <w:color w:val="4F81BD" w:themeColor="accent1"/>
          <w:sz w:val="36"/>
          <w:szCs w:val="36"/>
        </w:rPr>
        <w:t xml:space="preserve"> of nano azithromycin-Eudragit RS100 formulation using electro</w:t>
      </w:r>
      <w:r w:rsidRPr="00E03A58">
        <w:rPr>
          <w:rFonts w:ascii="Times" w:hAnsi="Times" w:cs="Times"/>
          <w:b/>
          <w:bCs/>
          <w:color w:val="4F81BD" w:themeColor="accent1"/>
          <w:sz w:val="36"/>
          <w:szCs w:val="36"/>
        </w:rPr>
        <w:t>-</w:t>
      </w:r>
      <w:r w:rsidRPr="00E03A58">
        <w:rPr>
          <w:rFonts w:ascii="Times" w:hAnsi="Times" w:cs="Times"/>
          <w:b/>
          <w:bCs/>
          <w:color w:val="4F81BD" w:themeColor="accent1"/>
          <w:sz w:val="36"/>
          <w:szCs w:val="36"/>
        </w:rPr>
        <w:t>spinning method</w:t>
      </w:r>
    </w:p>
    <w:p w:rsidR="00E03A58" w:rsidRPr="00E03A58" w:rsidRDefault="00E03A58" w:rsidP="00E03A58">
      <w:pPr>
        <w:pStyle w:val="Default"/>
        <w:rPr>
          <w:rFonts w:ascii="Times" w:hAnsi="Times" w:cs="Times"/>
          <w:b/>
          <w:bCs/>
          <w:color w:val="4F81BD" w:themeColor="accent1"/>
          <w:sz w:val="36"/>
          <w:szCs w:val="36"/>
        </w:rPr>
      </w:pPr>
    </w:p>
    <w:p w:rsidR="00E03A58" w:rsidRDefault="00E03A58" w:rsidP="00E03A58">
      <w:pPr>
        <w:pStyle w:val="Default"/>
        <w:rPr>
          <w:b/>
          <w:bCs/>
          <w:sz w:val="20"/>
          <w:szCs w:val="20"/>
        </w:rPr>
      </w:pPr>
      <w:r w:rsidRPr="0067553B">
        <w:rPr>
          <w:b/>
          <w:bCs/>
          <w:sz w:val="20"/>
          <w:szCs w:val="20"/>
        </w:rPr>
        <w:t xml:space="preserve">Farzaneh Lotfipour, </w:t>
      </w:r>
      <w:r>
        <w:rPr>
          <w:b/>
          <w:bCs/>
          <w:sz w:val="20"/>
          <w:szCs w:val="20"/>
        </w:rPr>
        <w:t>Khosro Adibkia, Golrokh Khorasani and Shahriar Payab</w:t>
      </w:r>
    </w:p>
    <w:p w:rsidR="00AE3E37" w:rsidRDefault="00E03A58">
      <w:pPr>
        <w:pStyle w:val="BodyText"/>
        <w:rPr>
          <w:rFonts w:ascii="Arial"/>
          <w:sz w:val="20"/>
        </w:rPr>
      </w:pPr>
      <w:r>
        <w:rPr>
          <w:b/>
          <w:bCs/>
          <w:sz w:val="20"/>
          <w:szCs w:val="20"/>
        </w:rPr>
        <w:t>Hematology &amp; Oncology Research Center, Faculty of Pharmacy, Tabriz University of Medical Sciences, Tabriz,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E03A58" w:rsidRDefault="0058384E">
      <w:pPr>
        <w:pStyle w:val="Heading3"/>
        <w:spacing w:before="147"/>
        <w:jc w:val="both"/>
      </w:pPr>
      <w:r>
        <w:rPr>
          <w:color w:val="BF5A14"/>
        </w:rPr>
        <w:lastRenderedPageBreak/>
        <w:t>Abstract</w:t>
      </w:r>
    </w:p>
    <w:p w:rsidR="00E03A58" w:rsidRPr="00E03A58" w:rsidRDefault="00E03A58" w:rsidP="00E03A58">
      <w:pPr>
        <w:pStyle w:val="Default"/>
        <w:rPr>
          <w:sz w:val="20"/>
          <w:szCs w:val="20"/>
        </w:rPr>
      </w:pPr>
      <w:r w:rsidRPr="00E03A58">
        <w:rPr>
          <w:b/>
          <w:bCs/>
          <w:i/>
          <w:iCs/>
          <w:sz w:val="20"/>
          <w:szCs w:val="20"/>
        </w:rPr>
        <w:t xml:space="preserve">Propose: </w:t>
      </w:r>
      <w:r w:rsidRPr="00E03A58">
        <w:rPr>
          <w:sz w:val="20"/>
          <w:szCs w:val="20"/>
        </w:rPr>
        <w:t xml:space="preserve">Bacterial pneumonia is a common lung infection caused by different types of bacteria. Azithromycin (AZI), an azalide antibiotic, is widely used to manage pneumococcal infections. Studies have shown that antibiotics in nanocarriers may lead to increased antibacterial activity and reduced toxicity. The aim of this work was to valuate in vitro antibacterial performance azithromycin-Eudragit RS100 nano-formulations against </w:t>
      </w:r>
      <w:r w:rsidRPr="00E03A58">
        <w:rPr>
          <w:i/>
          <w:iCs/>
          <w:sz w:val="20"/>
          <w:szCs w:val="20"/>
        </w:rPr>
        <w:t>Streptococcus pneumoniae and Staphylococcus aureus</w:t>
      </w:r>
      <w:r w:rsidRPr="00E03A58">
        <w:rPr>
          <w:sz w:val="20"/>
          <w:szCs w:val="20"/>
        </w:rPr>
        <w:t xml:space="preserve">. </w:t>
      </w:r>
      <w:r w:rsidRPr="00E03A58">
        <w:rPr>
          <w:b/>
          <w:bCs/>
          <w:i/>
          <w:iCs/>
          <w:sz w:val="20"/>
          <w:szCs w:val="20"/>
        </w:rPr>
        <w:t xml:space="preserve">Methods: </w:t>
      </w:r>
      <w:r w:rsidRPr="00E03A58">
        <w:rPr>
          <w:sz w:val="20"/>
          <w:szCs w:val="20"/>
        </w:rPr>
        <w:t xml:space="preserve">AZI-Eudragit RS100 nanoparticles were prepared via </w:t>
      </w:r>
      <w:r w:rsidR="008B7597">
        <w:rPr>
          <w:sz w:val="20"/>
          <w:szCs w:val="20"/>
        </w:rPr>
        <w:t xml:space="preserve">    </w:t>
      </w:r>
      <w:r w:rsidRPr="00E03A58">
        <w:rPr>
          <w:sz w:val="20"/>
          <w:szCs w:val="20"/>
        </w:rPr>
        <w:t xml:space="preserve">electrospinning technique and the </w:t>
      </w:r>
      <w:r w:rsidRPr="00E03A58">
        <w:rPr>
          <w:i/>
          <w:iCs/>
          <w:sz w:val="20"/>
          <w:szCs w:val="20"/>
        </w:rPr>
        <w:t xml:space="preserve">in </w:t>
      </w:r>
      <w:r w:rsidRPr="00E03A58">
        <w:rPr>
          <w:sz w:val="20"/>
          <w:szCs w:val="20"/>
        </w:rPr>
        <w:t xml:space="preserve">vitro antibacterial performance against </w:t>
      </w:r>
      <w:r w:rsidRPr="00E03A58">
        <w:rPr>
          <w:i/>
          <w:iCs/>
          <w:sz w:val="20"/>
          <w:szCs w:val="20"/>
        </w:rPr>
        <w:t xml:space="preserve">S. pneumoniae and S. aureus were assessed </w:t>
      </w:r>
      <w:r w:rsidRPr="00E03A58">
        <w:rPr>
          <w:sz w:val="20"/>
          <w:szCs w:val="20"/>
        </w:rPr>
        <w:t>using agar dilution method.</w:t>
      </w:r>
    </w:p>
    <w:p w:rsidR="008B7597" w:rsidRDefault="00E03A58" w:rsidP="008B7597">
      <w:pPr>
        <w:pStyle w:val="Default"/>
        <w:rPr>
          <w:sz w:val="20"/>
          <w:szCs w:val="20"/>
        </w:rPr>
      </w:pPr>
      <w:r w:rsidRPr="00E03A58">
        <w:rPr>
          <w:b/>
          <w:bCs/>
          <w:i/>
          <w:iCs/>
          <w:sz w:val="20"/>
          <w:szCs w:val="20"/>
        </w:rPr>
        <w:t xml:space="preserve">Results: </w:t>
      </w:r>
      <w:r w:rsidRPr="00E03A58">
        <w:rPr>
          <w:sz w:val="20"/>
          <w:szCs w:val="20"/>
        </w:rPr>
        <w:t xml:space="preserve">Nanofibers in the sizes about 100-300 nm in diameter and micro scale in length and nanobeads in the range of 100-500 nm were achieved. The Minimum Inhibitory Concentrations (MIC) showed an enhancement in the antimicrobial effect of AZI-Eudragit RS100 nanofibers (40 μg/ml) compare to untreated AZI solution (&gt;160 μg/ml) against </w:t>
      </w:r>
      <w:r w:rsidRPr="00E03A58">
        <w:rPr>
          <w:i/>
          <w:iCs/>
          <w:sz w:val="20"/>
          <w:szCs w:val="20"/>
        </w:rPr>
        <w:t>S. pneumonia</w:t>
      </w:r>
      <w:r w:rsidRPr="00E03A58">
        <w:rPr>
          <w:sz w:val="20"/>
          <w:szCs w:val="20"/>
        </w:rPr>
        <w:t xml:space="preserve">. The MIC value for AZI-Eudragit RS100 nanofibers against </w:t>
      </w:r>
      <w:r w:rsidRPr="00E03A58">
        <w:rPr>
          <w:i/>
          <w:iCs/>
          <w:sz w:val="20"/>
          <w:szCs w:val="20"/>
        </w:rPr>
        <w:t xml:space="preserve">S. aureus </w:t>
      </w:r>
      <w:r w:rsidRPr="00E03A58">
        <w:rPr>
          <w:sz w:val="20"/>
          <w:szCs w:val="20"/>
        </w:rPr>
        <w:t xml:space="preserve">was &gt;128 μg/ml, same as that of the untreated AZI solution. </w:t>
      </w:r>
      <w:r w:rsidRPr="00E03A58">
        <w:rPr>
          <w:b/>
          <w:bCs/>
          <w:i/>
          <w:iCs/>
          <w:sz w:val="20"/>
          <w:szCs w:val="20"/>
        </w:rPr>
        <w:t xml:space="preserve">Conclusion: </w:t>
      </w:r>
      <w:r w:rsidRPr="00E03A58">
        <w:rPr>
          <w:sz w:val="20"/>
          <w:szCs w:val="20"/>
        </w:rPr>
        <w:t>The enhanced efficiency of AZI in nanofibers could be related to the more adsorption opportunity of nanofibers to S. pneumonia capsulated cell wall which provides an antibiotic depot on the bacterial surface compared to S. aureus. AZI-Eudragit RS100 nanofibers with enhanced antimicrobial effect against S. pneumonia can be considered as a candidate for in vivo evaluations in antibiotic therapy of Pneumococcal infections.</w:t>
      </w:r>
    </w:p>
    <w:p w:rsidR="0058384E" w:rsidRDefault="0058384E" w:rsidP="008B7597">
      <w:pPr>
        <w:pStyle w:val="Default"/>
        <w:rPr>
          <w:color w:val="BF5A14"/>
        </w:rPr>
      </w:pPr>
    </w:p>
    <w:p w:rsidR="00AE3E37" w:rsidRDefault="00A9710C" w:rsidP="008B7597">
      <w:pPr>
        <w:pStyle w:val="Default"/>
        <w:rPr>
          <w:color w:val="BF5A14"/>
        </w:rPr>
      </w:pPr>
      <w:r>
        <w:rPr>
          <w:color w:val="BF5A14"/>
        </w:rPr>
        <w:t>Image</w:t>
      </w:r>
    </w:p>
    <w:p w:rsidR="00AE3E37" w:rsidRDefault="00230930" w:rsidP="00230930">
      <w:pPr>
        <w:pStyle w:val="BodyText"/>
        <w:spacing w:before="2"/>
        <w:rPr>
          <w:rFonts w:ascii="Arial"/>
          <w:b/>
          <w:sz w:val="16"/>
        </w:rPr>
      </w:pPr>
      <w:r w:rsidRPr="00AB3C64">
        <w:rPr>
          <w:noProof/>
        </w:rPr>
        <w:drawing>
          <wp:inline distT="0" distB="0" distL="0" distR="0" wp14:anchorId="1E691F9D" wp14:editId="41EE93B1">
            <wp:extent cx="1582907" cy="1285875"/>
            <wp:effectExtent l="0" t="0" r="0" b="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ctrospinning diagram1.png"/>
                    <pic:cNvPicPr/>
                  </pic:nvPicPr>
                  <pic:blipFill>
                    <a:blip r:embed="rId9" cstate="print">
                      <a:extLst>
                        <a:ext uri="{28A0092B-C50C-407E-A947-70E740481C1C}">
                          <a14:useLocalDpi xmlns:a14="http://schemas.microsoft.com/office/drawing/2010/main" val="0"/>
                        </a:ext>
                      </a:extLst>
                    </a:blip>
                    <a:srcRect l="14112" r="19973" b="11266"/>
                    <a:stretch>
                      <a:fillRect/>
                    </a:stretch>
                  </pic:blipFill>
                  <pic:spPr>
                    <a:xfrm>
                      <a:off x="0" y="0"/>
                      <a:ext cx="1584549" cy="1287208"/>
                    </a:xfrm>
                    <a:prstGeom prst="rect">
                      <a:avLst/>
                    </a:prstGeom>
                  </pic:spPr>
                </pic:pic>
              </a:graphicData>
            </a:graphic>
          </wp:inline>
        </w:drawing>
      </w:r>
      <w:r w:rsidRPr="007D5AEB">
        <w:rPr>
          <w:noProof/>
        </w:rPr>
        <w:drawing>
          <wp:inline distT="0" distB="0" distL="0" distR="0" wp14:anchorId="0C601049" wp14:editId="5C5D65D5">
            <wp:extent cx="857250" cy="709811"/>
            <wp:effectExtent l="0" t="0" r="0" b="0"/>
            <wp:docPr id="43" name="Picture 10" descr="D:\adibkia\Thesis_students\Payab\payan nameh\SEM\6\01.20130613092027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adibkia\Thesis_students\Payab\payan nameh\SEM\6\01.20130613092027031.jpg"/>
                    <pic:cNvPicPr>
                      <a:picLocks noChangeAspect="1" noChangeArrowheads="1"/>
                    </pic:cNvPicPr>
                  </pic:nvPicPr>
                  <pic:blipFill>
                    <a:blip r:embed="rId10" cstate="print"/>
                    <a:srcRect/>
                    <a:stretch>
                      <a:fillRect/>
                    </a:stretch>
                  </pic:blipFill>
                  <pic:spPr bwMode="auto">
                    <a:xfrm>
                      <a:off x="0" y="0"/>
                      <a:ext cx="871326" cy="721466"/>
                    </a:xfrm>
                    <a:prstGeom prst="rect">
                      <a:avLst/>
                    </a:prstGeom>
                    <a:noFill/>
                    <a:ln w="9525">
                      <a:noFill/>
                      <a:miter lim="800000"/>
                      <a:headEnd/>
                      <a:tailEnd/>
                    </a:ln>
                  </pic:spPr>
                </pic:pic>
              </a:graphicData>
            </a:graphic>
          </wp:inline>
        </w:drawing>
      </w:r>
      <w:r w:rsidRPr="007D5AEB">
        <w:rPr>
          <w:noProof/>
        </w:rPr>
        <w:drawing>
          <wp:inline distT="0" distB="0" distL="0" distR="0" wp14:anchorId="67DE42F5" wp14:editId="54BBA2BE">
            <wp:extent cx="853001" cy="704797"/>
            <wp:effectExtent l="0" t="0" r="4445" b="635"/>
            <wp:docPr id="42" name="Picture 1" descr="D:\adibkia\Thesis_students\Payab\payan nameh\SEM\1\01.20130613090306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dibkia\Thesis_students\Payab\payan nameh\SEM\1\01.20130613090306406.jpg"/>
                    <pic:cNvPicPr>
                      <a:picLocks noChangeAspect="1" noChangeArrowheads="1"/>
                    </pic:cNvPicPr>
                  </pic:nvPicPr>
                  <pic:blipFill>
                    <a:blip r:embed="rId11" cstate="print"/>
                    <a:srcRect/>
                    <a:stretch>
                      <a:fillRect/>
                    </a:stretch>
                  </pic:blipFill>
                  <pic:spPr bwMode="auto">
                    <a:xfrm>
                      <a:off x="0" y="0"/>
                      <a:ext cx="896689" cy="740895"/>
                    </a:xfrm>
                    <a:prstGeom prst="rect">
                      <a:avLst/>
                    </a:prstGeom>
                    <a:noFill/>
                    <a:ln w="9525">
                      <a:noFill/>
                      <a:miter lim="800000"/>
                      <a:headEnd/>
                      <a:tailEnd/>
                    </a:ln>
                  </pic:spPr>
                </pic:pic>
              </a:graphicData>
            </a:graphic>
          </wp:inline>
        </w:drawing>
      </w:r>
    </w:p>
    <w:p w:rsidR="008B7597" w:rsidRDefault="008B7597" w:rsidP="00230930">
      <w:pPr>
        <w:pStyle w:val="BodyText"/>
        <w:spacing w:before="2"/>
        <w:rPr>
          <w:rFonts w:ascii="Arial"/>
          <w:b/>
          <w:sz w:val="16"/>
        </w:rPr>
      </w:pPr>
      <w:r>
        <w:rPr>
          <w:rFonts w:ascii="Arial"/>
          <w:b/>
          <w:sz w:val="16"/>
        </w:rPr>
        <w:t xml:space="preserve">     </w:t>
      </w:r>
      <w:r>
        <w:rPr>
          <w:rFonts w:ascii="Dutch801BT-Roman" w:hAnsi="Dutch801BT-Roman" w:cs="Dutch801BT-Roman"/>
          <w:noProof/>
          <w:sz w:val="22"/>
          <w:szCs w:val="26"/>
        </w:rPr>
        <w:t xml:space="preserve">       </w:t>
      </w:r>
      <w:r>
        <w:rPr>
          <w:rFonts w:ascii="Arial"/>
          <w:b/>
          <w:sz w:val="16"/>
        </w:rPr>
        <w:t xml:space="preserve">      </w:t>
      </w:r>
      <w:r w:rsidRPr="001C682D">
        <w:rPr>
          <w:rFonts w:ascii="Dutch801BT-Roman" w:hAnsi="Dutch801BT-Roman" w:cs="Dutch801BT-Roman"/>
          <w:noProof/>
          <w:sz w:val="22"/>
          <w:szCs w:val="26"/>
        </w:rPr>
        <w:lastRenderedPageBreak/>
        <w:drawing>
          <wp:inline distT="0" distB="0" distL="0" distR="0" wp14:anchorId="3514E81C" wp14:editId="7E193763">
            <wp:extent cx="3165475" cy="1586803"/>
            <wp:effectExtent l="0" t="0" r="0" b="0"/>
            <wp:docPr id="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l="20908" t="21413" r="3601" b="11258"/>
                    <a:stretch>
                      <a:fillRect/>
                    </a:stretch>
                  </pic:blipFill>
                  <pic:spPr bwMode="auto">
                    <a:xfrm>
                      <a:off x="0" y="0"/>
                      <a:ext cx="3165475" cy="1586803"/>
                    </a:xfrm>
                    <a:prstGeom prst="rect">
                      <a:avLst/>
                    </a:prstGeom>
                    <a:noFill/>
                    <a:ln w="9525">
                      <a:noFill/>
                      <a:miter lim="800000"/>
                      <a:headEnd/>
                      <a:tailEnd/>
                    </a:ln>
                  </pic:spPr>
                </pic:pic>
              </a:graphicData>
            </a:graphic>
          </wp:inline>
        </w:drawing>
      </w:r>
    </w:p>
    <w:p w:rsidR="008B7597" w:rsidRDefault="008B7597">
      <w:pPr>
        <w:pStyle w:val="BodyText"/>
        <w:spacing w:before="2"/>
        <w:rPr>
          <w:rFonts w:ascii="Arial"/>
          <w:b/>
          <w:sz w:val="16"/>
        </w:rPr>
      </w:pPr>
    </w:p>
    <w:p w:rsidR="008B7597" w:rsidRDefault="008B7597">
      <w:pPr>
        <w:pStyle w:val="BodyText"/>
        <w:spacing w:before="2"/>
        <w:rPr>
          <w:rFonts w:ascii="Arial"/>
          <w:b/>
          <w:sz w:val="16"/>
        </w:rPr>
      </w:pPr>
      <w:r>
        <w:rPr>
          <w:noProof/>
        </w:rPr>
        <w:drawing>
          <wp:inline distT="0" distB="0" distL="0" distR="0" wp14:anchorId="286EBA2A" wp14:editId="3AE8B7FF">
            <wp:extent cx="3165475" cy="156885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l="20536" t="21413" r="2036" b="10375"/>
                    <a:stretch>
                      <a:fillRect/>
                    </a:stretch>
                  </pic:blipFill>
                  <pic:spPr bwMode="auto">
                    <a:xfrm>
                      <a:off x="0" y="0"/>
                      <a:ext cx="3165475" cy="1568852"/>
                    </a:xfrm>
                    <a:prstGeom prst="rect">
                      <a:avLst/>
                    </a:prstGeom>
                    <a:noFill/>
                    <a:ln w="9525">
                      <a:noFill/>
                      <a:miter lim="800000"/>
                      <a:headEnd/>
                      <a:tailEnd/>
                    </a:ln>
                  </pic:spPr>
                </pic:pic>
              </a:graphicData>
            </a:graphic>
          </wp:inline>
        </w:drawing>
      </w:r>
    </w:p>
    <w:p w:rsidR="00E27219" w:rsidRDefault="00E27219" w:rsidP="00230930">
      <w:pPr>
        <w:pStyle w:val="Default"/>
        <w:rPr>
          <w:rFonts w:asciiTheme="majorBidi" w:eastAsia="Calibri" w:hAnsiTheme="majorBidi" w:cstheme="majorBidi"/>
          <w:b/>
          <w:bCs/>
          <w:sz w:val="20"/>
          <w:szCs w:val="20"/>
        </w:rPr>
      </w:pPr>
      <w:bookmarkStart w:id="0" w:name="_Toc424929152"/>
    </w:p>
    <w:p w:rsidR="00230930" w:rsidRPr="00230930" w:rsidRDefault="00230930" w:rsidP="00230930">
      <w:pPr>
        <w:pStyle w:val="Default"/>
        <w:rPr>
          <w:rFonts w:asciiTheme="majorBidi" w:hAnsiTheme="majorBidi" w:cstheme="majorBidi"/>
          <w:sz w:val="20"/>
          <w:szCs w:val="20"/>
          <w:lang w:val="en-CA"/>
        </w:rPr>
      </w:pPr>
      <w:r w:rsidRPr="00230930">
        <w:rPr>
          <w:rFonts w:asciiTheme="majorBidi" w:eastAsia="Calibri" w:hAnsiTheme="majorBidi" w:cstheme="majorBidi"/>
          <w:b/>
          <w:bCs/>
          <w:sz w:val="20"/>
          <w:szCs w:val="20"/>
        </w:rPr>
        <w:t xml:space="preserve">Fig 3.  (a and b). </w:t>
      </w:r>
      <w:r w:rsidRPr="00230930">
        <w:rPr>
          <w:rFonts w:asciiTheme="majorBidi" w:hAnsiTheme="majorBidi" w:cstheme="majorBidi"/>
          <w:sz w:val="20"/>
          <w:szCs w:val="20"/>
          <w:lang w:val="en-CA"/>
        </w:rPr>
        <w:t>Haemophillus agar plates containing AZI-Eudragit RS100 nanofibers as well as untreated AZI solution with streak cultures of S. pneumonia.</w:t>
      </w:r>
      <w:bookmarkEnd w:id="0"/>
      <w:r w:rsidRPr="00230930">
        <w:rPr>
          <w:rFonts w:asciiTheme="majorBidi" w:hAnsiTheme="majorBidi" w:cstheme="majorBidi"/>
          <w:sz w:val="20"/>
          <w:szCs w:val="20"/>
          <w:lang w:val="en-CA"/>
        </w:rPr>
        <w:t xml:space="preserve">   </w:t>
      </w:r>
    </w:p>
    <w:p w:rsidR="005973B9" w:rsidRDefault="005973B9" w:rsidP="005973B9">
      <w:pPr>
        <w:spacing w:line="204" w:lineRule="exact"/>
        <w:rPr>
          <w:rFonts w:ascii="Arial"/>
          <w:b/>
          <w:sz w:val="20"/>
        </w:rPr>
      </w:pPr>
      <w:r>
        <w:rPr>
          <w:rFonts w:ascii="Arial"/>
          <w:b/>
          <w:color w:val="BF5A14"/>
          <w:sz w:val="20"/>
        </w:rPr>
        <w:t>Recent Publications (minimum 5)</w:t>
      </w:r>
    </w:p>
    <w:p w:rsidR="008811CF" w:rsidRDefault="008811CF" w:rsidP="00F63F14">
      <w:pPr>
        <w:pStyle w:val="ListParagraph"/>
        <w:numPr>
          <w:ilvl w:val="0"/>
          <w:numId w:val="4"/>
        </w:numPr>
      </w:pPr>
      <w:hyperlink r:id="rId14" w:history="1">
        <w:r>
          <w:rPr>
            <w:rStyle w:val="Hyperlink"/>
          </w:rPr>
          <w:t>Antimicrobial activity of the metals and metal oxide nanoparticles</w:t>
        </w:r>
      </w:hyperlink>
      <w:r>
        <w:t xml:space="preserve">, (2014) </w:t>
      </w:r>
      <w:r>
        <w:t>SM Dizaj, F Lotfipour, M Barzegar-Jalali, MH Zarrintan, K Adibkia</w:t>
      </w:r>
      <w:r>
        <w:t xml:space="preserve">, </w:t>
      </w:r>
      <w:r>
        <w:t>Materials Science and Engineering: C 44, 278-284</w:t>
      </w:r>
    </w:p>
    <w:p w:rsidR="008811CF" w:rsidRDefault="008811CF" w:rsidP="0038721A">
      <w:pPr>
        <w:pStyle w:val="ListParagraph"/>
        <w:numPr>
          <w:ilvl w:val="0"/>
          <w:numId w:val="4"/>
        </w:numPr>
      </w:pPr>
      <w:hyperlink r:id="rId15" w:history="1">
        <w:r>
          <w:rPr>
            <w:rStyle w:val="Hyperlink"/>
          </w:rPr>
          <w:t>Natural antimicrobial peptides from bacteria: characteristics and potential applications to fight against antibiotic resistance</w:t>
        </w:r>
      </w:hyperlink>
      <w:r>
        <w:t xml:space="preserve">, (2010) </w:t>
      </w:r>
      <w:r>
        <w:t>M Hassan, M Kjos, IF Nes, DB Diep, F Lotfipour</w:t>
      </w:r>
      <w:r>
        <w:t xml:space="preserve">, </w:t>
      </w:r>
      <w:r>
        <w:t>Journal of applied microbiology 113 (4), 723-736</w:t>
      </w:r>
    </w:p>
    <w:p w:rsidR="008811CF" w:rsidRDefault="008811CF" w:rsidP="00425341">
      <w:pPr>
        <w:pStyle w:val="ListParagraph"/>
        <w:numPr>
          <w:ilvl w:val="0"/>
          <w:numId w:val="4"/>
        </w:numPr>
      </w:pPr>
      <w:hyperlink r:id="rId16" w:history="1">
        <w:r>
          <w:rPr>
            <w:rStyle w:val="Hyperlink"/>
          </w:rPr>
          <w:t>Nanoparticles for antimicrobial purposes in Endodontics: A systematic review of in vitro studies</w:t>
        </w:r>
      </w:hyperlink>
      <w:r>
        <w:t xml:space="preserve">, (2016) </w:t>
      </w:r>
      <w:r>
        <w:t>M Samiei, A Farjami, SM Dizaj, F Lotfipour</w:t>
      </w:r>
      <w:r>
        <w:t xml:space="preserve">, </w:t>
      </w:r>
      <w:r>
        <w:t>Materials Science and Engineering: C 58, 1269-1278</w:t>
      </w:r>
    </w:p>
    <w:p w:rsidR="00A85E46" w:rsidRDefault="00A85E46" w:rsidP="00A85E46">
      <w:pPr>
        <w:pStyle w:val="ListParagraph"/>
        <w:numPr>
          <w:ilvl w:val="0"/>
          <w:numId w:val="4"/>
        </w:numPr>
      </w:pPr>
      <w:hyperlink r:id="rId17" w:history="1">
        <w:r>
          <w:rPr>
            <w:rStyle w:val="Hyperlink"/>
          </w:rPr>
          <w:t>Magnetic nanoparticles for antimicrobial drug delivery</w:t>
        </w:r>
      </w:hyperlink>
      <w:r>
        <w:t xml:space="preserve">, (2012) </w:t>
      </w:r>
      <w:r>
        <w:t>L Azhar, F Lotfipour</w:t>
      </w:r>
      <w:r>
        <w:t xml:space="preserve">, </w:t>
      </w:r>
      <w:r>
        <w:t>Die Pharmazie-An International Journal of</w:t>
      </w:r>
      <w:r>
        <w:t xml:space="preserve"> Pharmaceutical Sciences 67 (10): </w:t>
      </w:r>
      <w:r>
        <w:t>817-821</w:t>
      </w:r>
    </w:p>
    <w:p w:rsidR="00A85E46" w:rsidRDefault="00A85E46" w:rsidP="00B6470A">
      <w:pPr>
        <w:pStyle w:val="ListParagraph"/>
        <w:numPr>
          <w:ilvl w:val="0"/>
          <w:numId w:val="4"/>
        </w:numPr>
      </w:pPr>
      <w:hyperlink r:id="rId18" w:history="1">
        <w:r>
          <w:rPr>
            <w:rStyle w:val="Hyperlink"/>
          </w:rPr>
          <w:t>Gelatin-based delivery systems for cancer gene therapy</w:t>
        </w:r>
      </w:hyperlink>
      <w:r>
        <w:t xml:space="preserve">, (2009) </w:t>
      </w:r>
      <w:r>
        <w:t>SH Nezhadi, PFM Choong, F Lotfipour, CR Dass</w:t>
      </w:r>
      <w:r>
        <w:t xml:space="preserve">, </w:t>
      </w:r>
      <w:r>
        <w:t>Journal of drug targeting 17 (10), 731-738</w:t>
      </w:r>
    </w:p>
    <w:p w:rsidR="00AE3E37" w:rsidRDefault="00AE3E37" w:rsidP="00A85E46">
      <w:pPr>
        <w:pStyle w:val="ListParagraph"/>
        <w:numPr>
          <w:ilvl w:val="0"/>
          <w:numId w:val="5"/>
        </w:numPr>
        <w:tabs>
          <w:tab w:val="left" w:pos="384"/>
        </w:tabs>
        <w:spacing w:before="92" w:line="218" w:lineRule="exact"/>
        <w:sectPr w:rsidR="00AE3E37">
          <w:type w:val="continuous"/>
          <w:pgSz w:w="11910" w:h="16840"/>
          <w:pgMar w:top="1740" w:right="600" w:bottom="840" w:left="620" w:header="720" w:footer="720" w:gutter="0"/>
          <w:cols w:num="2" w:space="720" w:equalWidth="0">
            <w:col w:w="5214" w:space="138"/>
            <w:col w:w="5338"/>
          </w:cols>
        </w:sectPr>
      </w:pPr>
    </w:p>
    <w:p w:rsidR="00230930" w:rsidRPr="00230930" w:rsidRDefault="00230930" w:rsidP="00230930">
      <w:pPr>
        <w:pStyle w:val="Heading3"/>
        <w:ind w:left="0"/>
        <w:rPr>
          <w:rFonts w:asciiTheme="majorBidi" w:eastAsia="Times New Roman" w:hAnsiTheme="majorBidi" w:cstheme="majorBidi"/>
        </w:rPr>
      </w:pPr>
      <w:bookmarkStart w:id="1" w:name="_Toc399855148"/>
      <w:bookmarkStart w:id="2" w:name="_Toc400284539"/>
      <w:bookmarkStart w:id="3" w:name="_Toc424929127"/>
      <w:r w:rsidRPr="00230930">
        <w:rPr>
          <w:rFonts w:asciiTheme="majorBidi" w:eastAsia="Times New Roman" w:hAnsiTheme="majorBidi" w:cstheme="majorBidi"/>
        </w:rPr>
        <w:lastRenderedPageBreak/>
        <w:t xml:space="preserve">Fig. 1. </w:t>
      </w:r>
      <w:r w:rsidRPr="00230930">
        <w:rPr>
          <w:rFonts w:asciiTheme="majorBidi" w:eastAsia="Times New Roman" w:hAnsiTheme="majorBidi" w:cstheme="majorBidi"/>
          <w:b w:val="0"/>
          <w:bCs w:val="0"/>
        </w:rPr>
        <w:t>Schematic view of electrospinning process</w:t>
      </w:r>
      <w:bookmarkEnd w:id="1"/>
      <w:bookmarkEnd w:id="2"/>
      <w:bookmarkEnd w:id="3"/>
      <w:r>
        <w:rPr>
          <w:rFonts w:asciiTheme="majorBidi" w:eastAsia="Times New Roman" w:hAnsiTheme="majorBidi" w:cstheme="majorBidi"/>
          <w:b w:val="0"/>
          <w:bCs w:val="0"/>
        </w:rPr>
        <w:t xml:space="preserve">, </w:t>
      </w:r>
    </w:p>
    <w:p w:rsidR="00230930" w:rsidRDefault="00230930" w:rsidP="00230930">
      <w:pPr>
        <w:spacing w:line="360" w:lineRule="auto"/>
        <w:jc w:val="both"/>
        <w:rPr>
          <w:rFonts w:ascii="Times New Roman" w:hAnsi="Times New Roman" w:cs="Times New Roman"/>
          <w:sz w:val="20"/>
          <w:szCs w:val="20"/>
          <w:lang w:val="en-CA"/>
        </w:rPr>
      </w:pPr>
      <w:r w:rsidRPr="00A85E46">
        <w:rPr>
          <w:rFonts w:ascii="Times New Roman" w:hAnsi="Times New Roman" w:cs="Times New Roman"/>
          <w:b/>
          <w:bCs/>
          <w:sz w:val="20"/>
          <w:szCs w:val="20"/>
        </w:rPr>
        <w:t>Fig 2.</w:t>
      </w:r>
      <w:r w:rsidRPr="00230930">
        <w:rPr>
          <w:rFonts w:ascii="Times New Roman" w:hAnsi="Times New Roman" w:cs="Times New Roman"/>
          <w:sz w:val="20"/>
          <w:szCs w:val="20"/>
        </w:rPr>
        <w:t xml:space="preserve"> </w:t>
      </w:r>
      <w:r w:rsidRPr="00230930">
        <w:rPr>
          <w:rFonts w:ascii="Times New Roman" w:hAnsi="Times New Roman" w:cs="Times New Roman"/>
          <w:sz w:val="20"/>
          <w:szCs w:val="20"/>
          <w:lang w:val="en-CA"/>
        </w:rPr>
        <w:t xml:space="preserve">SEM images for AZI-Eudragit RS100 electrospuns. </w:t>
      </w:r>
    </w:p>
    <w:p w:rsidR="00230930" w:rsidRDefault="00230930">
      <w:pPr>
        <w:pStyle w:val="BodyText"/>
        <w:rPr>
          <w:rFonts w:ascii="Calibri"/>
          <w:sz w:val="20"/>
        </w:rPr>
      </w:pPr>
    </w:p>
    <w:p w:rsidR="00230930" w:rsidRDefault="0058384E">
      <w:pPr>
        <w:pStyle w:val="BodyText"/>
        <w:rPr>
          <w:rFonts w:ascii="Calibri"/>
          <w:sz w:val="20"/>
        </w:rPr>
      </w:pPr>
      <w:r>
        <w:rPr>
          <w:rFonts w:ascii="Calibri"/>
          <w:noProof/>
          <w:sz w:val="4"/>
        </w:rPr>
        <mc:AlternateContent>
          <mc:Choice Requires="wpg">
            <w:drawing>
              <wp:inline distT="0" distB="0" distL="0" distR="0" wp14:anchorId="2EF21F1B" wp14:editId="19A00AC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91771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30930" w:rsidRDefault="00230930">
      <w:pPr>
        <w:pStyle w:val="BodyText"/>
        <w:rPr>
          <w:rFonts w:ascii="Calibri"/>
          <w:sz w:val="20"/>
        </w:rPr>
      </w:pPr>
    </w:p>
    <w:p w:rsidR="00230930" w:rsidRDefault="00230930">
      <w:pPr>
        <w:pStyle w:val="BodyText"/>
        <w:rPr>
          <w:rFonts w:ascii="Calibri"/>
          <w:sz w:val="20"/>
        </w:rPr>
      </w:pPr>
    </w:p>
    <w:p w:rsidR="00230930" w:rsidRDefault="00230930">
      <w:pPr>
        <w:pStyle w:val="BodyText"/>
        <w:rPr>
          <w:rFonts w:ascii="Calibri"/>
          <w:sz w:val="20"/>
        </w:rPr>
      </w:pPr>
    </w:p>
    <w:p w:rsidR="00AE3E37" w:rsidRDefault="00AE3E37">
      <w:pPr>
        <w:pStyle w:val="BodyText"/>
        <w:spacing w:line="40" w:lineRule="exact"/>
        <w:ind w:left="2202"/>
        <w:rPr>
          <w:rFonts w:ascii="Calibri"/>
          <w:sz w:val="4"/>
        </w:rPr>
      </w:pPr>
    </w:p>
    <w:p w:rsidR="00EB3233" w:rsidRDefault="008756E6" w:rsidP="008811CF">
      <w:pPr>
        <w:spacing w:before="92"/>
        <w:ind w:right="4234"/>
        <w:rPr>
          <w:noProof/>
        </w:rPr>
      </w:pPr>
      <w:r>
        <w:rPr>
          <w:noProof/>
        </w:rPr>
        <w:t xml:space="preserve">    </w:t>
      </w:r>
      <w:r w:rsidR="0058384E" w:rsidRPr="0058384E">
        <w:rPr>
          <w:noProof/>
        </w:rPr>
        <w:drawing>
          <wp:inline distT="0" distB="0" distL="0" distR="0">
            <wp:extent cx="1045624" cy="846772"/>
            <wp:effectExtent l="0" t="0" r="2540" b="0"/>
            <wp:docPr id="6" name="Picture 6" descr="C:\Users\DR-LOTFIPUR\Desktop\ind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LOTFIPUR\Desktop\index.pn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9570" r="17113" b="30161"/>
                    <a:stretch/>
                  </pic:blipFill>
                  <pic:spPr bwMode="auto">
                    <a:xfrm>
                      <a:off x="0" y="0"/>
                      <a:ext cx="1080052" cy="874652"/>
                    </a:xfrm>
                    <a:prstGeom prst="rect">
                      <a:avLst/>
                    </a:prstGeom>
                    <a:noFill/>
                    <a:ln>
                      <a:noFill/>
                    </a:ln>
                    <a:extLst>
                      <a:ext uri="{53640926-AAD7-44D8-BBD7-CCE9431645EC}">
                        <a14:shadowObscured xmlns:a14="http://schemas.microsoft.com/office/drawing/2010/main"/>
                      </a:ext>
                    </a:extLst>
                  </pic:spPr>
                </pic:pic>
              </a:graphicData>
            </a:graphic>
          </wp:inline>
        </w:drawing>
      </w:r>
    </w:p>
    <w:p w:rsidR="008811CF" w:rsidRDefault="00A9710C" w:rsidP="008811CF">
      <w:pPr>
        <w:spacing w:before="92"/>
        <w:ind w:right="4234"/>
        <w:rPr>
          <w:rFonts w:ascii="Arial"/>
          <w:color w:val="BF5A14"/>
        </w:rPr>
      </w:pPr>
      <w:bookmarkStart w:id="4" w:name="_GoBack"/>
      <w:bookmarkEnd w:id="4"/>
      <w:r>
        <w:rPr>
          <w:rFonts w:ascii="Arial"/>
          <w:color w:val="BF5A14"/>
        </w:rPr>
        <w:t>Biography</w:t>
      </w:r>
    </w:p>
    <w:p w:rsidR="008811CF" w:rsidRPr="008811CF" w:rsidRDefault="008811CF" w:rsidP="008811CF">
      <w:pPr>
        <w:spacing w:line="360" w:lineRule="auto"/>
        <w:jc w:val="both"/>
        <w:rPr>
          <w:rFonts w:asciiTheme="majorBidi" w:hAnsiTheme="majorBidi" w:cstheme="majorBidi"/>
          <w:sz w:val="16"/>
          <w:szCs w:val="16"/>
        </w:rPr>
      </w:pPr>
      <w:r w:rsidRPr="008811CF">
        <w:rPr>
          <w:rFonts w:asciiTheme="majorBidi" w:hAnsiTheme="majorBidi" w:cstheme="majorBidi"/>
          <w:b/>
          <w:bCs/>
          <w:sz w:val="16"/>
          <w:szCs w:val="16"/>
        </w:rPr>
        <w:t>PharmD</w:t>
      </w:r>
      <w:r w:rsidRPr="008811CF">
        <w:rPr>
          <w:rFonts w:asciiTheme="majorBidi" w:hAnsiTheme="majorBidi" w:cstheme="majorBidi"/>
          <w:sz w:val="16"/>
          <w:szCs w:val="16"/>
        </w:rPr>
        <w:t>: School of Pharmacy, Tabriz University of Medical Sciences, Iran, 1999</w:t>
      </w:r>
    </w:p>
    <w:p w:rsidR="008811CF" w:rsidRPr="008811CF" w:rsidRDefault="008811CF" w:rsidP="008811CF">
      <w:pPr>
        <w:spacing w:line="360" w:lineRule="auto"/>
        <w:jc w:val="both"/>
        <w:rPr>
          <w:rFonts w:asciiTheme="majorBidi" w:hAnsiTheme="majorBidi" w:cstheme="majorBidi"/>
          <w:sz w:val="16"/>
          <w:szCs w:val="16"/>
        </w:rPr>
      </w:pPr>
      <w:r w:rsidRPr="008811CF">
        <w:rPr>
          <w:rFonts w:asciiTheme="majorBidi" w:hAnsiTheme="majorBidi" w:cstheme="majorBidi"/>
          <w:b/>
          <w:bCs/>
          <w:sz w:val="16"/>
          <w:szCs w:val="16"/>
        </w:rPr>
        <w:t>Research Fellow</w:t>
      </w:r>
      <w:r w:rsidRPr="008811CF">
        <w:rPr>
          <w:rFonts w:asciiTheme="majorBidi" w:hAnsiTheme="majorBidi" w:cstheme="majorBidi"/>
          <w:sz w:val="16"/>
          <w:szCs w:val="16"/>
        </w:rPr>
        <w:t>: Ottawa Health Research Institute, University of Ottawa, Ottawa, ON, Canada, 2004-2005</w:t>
      </w:r>
    </w:p>
    <w:p w:rsidR="00AE3E37" w:rsidRPr="008811CF" w:rsidRDefault="008811CF" w:rsidP="008811CF">
      <w:pPr>
        <w:spacing w:line="360" w:lineRule="auto"/>
        <w:jc w:val="both"/>
        <w:rPr>
          <w:rFonts w:asciiTheme="majorBidi" w:hAnsiTheme="majorBidi" w:cstheme="majorBidi"/>
          <w:sz w:val="16"/>
          <w:szCs w:val="16"/>
        </w:rPr>
      </w:pPr>
      <w:r w:rsidRPr="008811CF">
        <w:rPr>
          <w:rFonts w:asciiTheme="majorBidi" w:hAnsiTheme="majorBidi" w:cstheme="majorBidi"/>
          <w:b/>
          <w:bCs/>
          <w:sz w:val="16"/>
          <w:szCs w:val="16"/>
        </w:rPr>
        <w:t>PhD</w:t>
      </w:r>
      <w:r w:rsidRPr="008811CF">
        <w:rPr>
          <w:rFonts w:asciiTheme="majorBidi" w:hAnsiTheme="majorBidi" w:cstheme="majorBidi"/>
          <w:sz w:val="16"/>
          <w:szCs w:val="16"/>
        </w:rPr>
        <w:t>: School of Pharmacy,</w:t>
      </w:r>
      <w:r w:rsidRPr="008811CF">
        <w:rPr>
          <w:rFonts w:asciiTheme="majorBidi" w:hAnsiTheme="majorBidi" w:cstheme="majorBidi"/>
          <w:b/>
          <w:bCs/>
          <w:sz w:val="16"/>
          <w:szCs w:val="16"/>
        </w:rPr>
        <w:t xml:space="preserve"> </w:t>
      </w:r>
      <w:r w:rsidRPr="008811CF">
        <w:rPr>
          <w:rFonts w:asciiTheme="majorBidi" w:hAnsiTheme="majorBidi" w:cstheme="majorBidi"/>
          <w:sz w:val="16"/>
          <w:szCs w:val="16"/>
        </w:rPr>
        <w:t xml:space="preserve">Tabriz University of Medical Sciences, Iran, 2006  </w:t>
      </w:r>
    </w:p>
    <w:p w:rsidR="00AE3E37" w:rsidRDefault="00722E18" w:rsidP="008811CF">
      <w:pPr>
        <w:spacing w:line="360" w:lineRule="auto"/>
        <w:jc w:val="both"/>
        <w:rPr>
          <w:rFonts w:ascii="Arial"/>
          <w:sz w:val="14"/>
        </w:rPr>
      </w:pPr>
      <w:r>
        <w:rPr>
          <w:rFonts w:ascii="Arial"/>
          <w:sz w:val="14"/>
        </w:rPr>
        <w:t>Farzaneh Lotfipour</w:t>
      </w:r>
      <w:r w:rsidR="00A9710C">
        <w:rPr>
          <w:rFonts w:ascii="Arial"/>
          <w:sz w:val="14"/>
        </w:rPr>
        <w:t xml:space="preserve"> has her expertise in </w:t>
      </w:r>
      <w:r>
        <w:rPr>
          <w:rFonts w:ascii="Arial"/>
          <w:sz w:val="14"/>
        </w:rPr>
        <w:t>Pharmaceutical Microbiology</w:t>
      </w:r>
      <w:r w:rsidR="00A9710C">
        <w:rPr>
          <w:rFonts w:ascii="Arial"/>
          <w:sz w:val="14"/>
        </w:rPr>
        <w:t xml:space="preserve">. Her </w:t>
      </w:r>
      <w:r w:rsidR="00E27219">
        <w:rPr>
          <w:rFonts w:ascii="Arial"/>
          <w:sz w:val="14"/>
        </w:rPr>
        <w:t xml:space="preserve">Research field included </w:t>
      </w:r>
      <w:r w:rsidR="00E27219" w:rsidRPr="00E27219">
        <w:rPr>
          <w:rFonts w:ascii="Arial"/>
          <w:sz w:val="14"/>
        </w:rPr>
        <w:t>Development of novel drug delivery systems for antibio</w:t>
      </w:r>
      <w:r w:rsidR="008811CF">
        <w:rPr>
          <w:rFonts w:ascii="Arial"/>
          <w:sz w:val="14"/>
        </w:rPr>
        <w:t>tics and gene delivery purposes;</w:t>
      </w:r>
      <w:r w:rsidR="00E27219" w:rsidRPr="00E27219">
        <w:rPr>
          <w:rFonts w:ascii="Arial"/>
          <w:sz w:val="14"/>
        </w:rPr>
        <w:t xml:space="preserve"> Development of novel microbial quality control methods for Pharmaceutical Products</w:t>
      </w:r>
      <w:r w:rsidR="008811CF">
        <w:rPr>
          <w:rFonts w:ascii="Arial"/>
          <w:sz w:val="14"/>
        </w:rPr>
        <w:t>;</w:t>
      </w:r>
      <w:r w:rsidR="00E27219">
        <w:rPr>
          <w:rFonts w:ascii="Arial"/>
          <w:sz w:val="14"/>
        </w:rPr>
        <w:t xml:space="preserve"> </w:t>
      </w:r>
      <w:r w:rsidR="00E27219" w:rsidRPr="00E27219">
        <w:rPr>
          <w:rFonts w:ascii="Arial"/>
          <w:sz w:val="14"/>
        </w:rPr>
        <w:t>Bioassay of antibiotics, antifungal</w:t>
      </w:r>
      <w:r w:rsidR="008811CF">
        <w:rPr>
          <w:rFonts w:ascii="Arial"/>
          <w:sz w:val="14"/>
        </w:rPr>
        <w:t xml:space="preserve"> and vitamins;</w:t>
      </w:r>
      <w:r w:rsidR="00E27219" w:rsidRPr="00E27219">
        <w:rPr>
          <w:rFonts w:ascii="Arial"/>
          <w:sz w:val="14"/>
        </w:rPr>
        <w:t xml:space="preserve"> Evaluation of the bioactivity of herbal and natural products</w:t>
      </w:r>
      <w:r w:rsidR="00A9710C">
        <w:rPr>
          <w:rFonts w:ascii="Arial"/>
          <w:sz w:val="14"/>
        </w:rPr>
        <w:t>.</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8811CF">
        <w:rPr>
          <w:rFonts w:ascii="Arial"/>
          <w:sz w:val="14"/>
        </w:rPr>
        <w:t>her expert domain</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E27219">
        <w:rPr>
          <w:rFonts w:ascii="Arial"/>
          <w:sz w:val="14"/>
        </w:rPr>
        <w:t>consulting both</w:t>
      </w:r>
      <w:r w:rsidR="00A9710C">
        <w:rPr>
          <w:rFonts w:ascii="Arial"/>
          <w:sz w:val="14"/>
        </w:rPr>
        <w:t xml:space="preserve"> in </w:t>
      </w:r>
      <w:r w:rsidR="00E27219">
        <w:rPr>
          <w:rFonts w:ascii="Arial"/>
          <w:sz w:val="14"/>
        </w:rPr>
        <w:t>industries</w:t>
      </w:r>
      <w:r w:rsidR="00A9710C">
        <w:rPr>
          <w:rFonts w:ascii="Arial"/>
          <w:sz w:val="14"/>
        </w:rPr>
        <w:t xml:space="preserve"> and education institutions. </w:t>
      </w:r>
    </w:p>
    <w:p w:rsidR="008811CF" w:rsidRDefault="008811CF" w:rsidP="00724C6E">
      <w:pPr>
        <w:tabs>
          <w:tab w:val="left" w:pos="6660"/>
        </w:tabs>
        <w:spacing w:before="62"/>
        <w:ind w:left="4217" w:right="1960"/>
        <w:rPr>
          <w:rFonts w:ascii="Arial" w:hAnsi="Arial" w:cs="Arial"/>
          <w:sz w:val="14"/>
        </w:rPr>
      </w:pPr>
      <w:r>
        <w:rPr>
          <w:rFonts w:ascii="Arial" w:hAnsi="Arial" w:cs="Arial"/>
          <w:sz w:val="14"/>
        </w:rPr>
        <w:t>Farzanrh Lotfipour, PharmD, PhD</w:t>
      </w:r>
    </w:p>
    <w:p w:rsidR="00AE3E37" w:rsidRDefault="008811CF" w:rsidP="008811CF">
      <w:pPr>
        <w:tabs>
          <w:tab w:val="left" w:pos="6660"/>
        </w:tabs>
        <w:spacing w:before="62"/>
        <w:ind w:left="4217" w:right="1960"/>
        <w:rPr>
          <w:rFonts w:ascii="Arial"/>
          <w:sz w:val="14"/>
        </w:rPr>
      </w:pPr>
      <w:r>
        <w:rPr>
          <w:rFonts w:ascii="Arial" w:hAnsi="Arial" w:cs="Arial"/>
          <w:sz w:val="14"/>
        </w:rPr>
        <w:t xml:space="preserve">Professor of Pharmaceutical Microbiology </w:t>
      </w:r>
      <w:r w:rsidR="00724C6E" w:rsidRPr="00724C6E">
        <w:rPr>
          <w:rStyle w:val="Hyperlink"/>
          <w:rFonts w:ascii="Arial" w:hAnsi="Arial" w:cs="Arial"/>
          <w:sz w:val="6"/>
        </w:rPr>
        <w:br/>
      </w:r>
      <w:r w:rsidR="00724C6E" w:rsidRPr="00724C6E">
        <w:rPr>
          <w:rFonts w:ascii="Arial" w:hAnsi="Arial" w:cs="Arial"/>
          <w:sz w:val="14"/>
        </w:rPr>
        <w:t>Tel:</w:t>
      </w:r>
      <w:r w:rsidR="00724C6E">
        <w:rPr>
          <w:rFonts w:ascii="Arial" w:hAnsi="Arial" w:cs="Arial"/>
          <w:sz w:val="14"/>
        </w:rPr>
        <w:t xml:space="preserve"> </w:t>
      </w:r>
      <w:r>
        <w:rPr>
          <w:rFonts w:ascii="Arial" w:hAnsi="Arial" w:cs="Arial"/>
          <w:sz w:val="14"/>
        </w:rPr>
        <w:t>+98 (41) 33392580</w:t>
      </w:r>
      <w:r w:rsidR="00724C6E">
        <w:rPr>
          <w:rFonts w:ascii="Arial" w:hAnsi="Arial" w:cs="Arial"/>
          <w:sz w:val="14"/>
        </w:rPr>
        <w:br/>
      </w:r>
      <w:r w:rsidR="00724C6E" w:rsidRPr="00724C6E">
        <w:rPr>
          <w:rFonts w:ascii="Arial"/>
          <w:sz w:val="14"/>
        </w:rPr>
        <w:t xml:space="preserve">Session </w:t>
      </w:r>
      <w:r w:rsidR="00724C6E">
        <w:rPr>
          <w:rFonts w:ascii="Arial"/>
          <w:sz w:val="14"/>
        </w:rPr>
        <w:t>N</w:t>
      </w:r>
      <w:r w:rsidR="00724C6E" w:rsidRPr="00724C6E">
        <w:rPr>
          <w:rFonts w:ascii="Arial"/>
          <w:sz w:val="14"/>
        </w:rPr>
        <w:t>ame</w:t>
      </w:r>
      <w:r w:rsidR="00724C6E">
        <w:rPr>
          <w:rFonts w:ascii="Arial"/>
          <w:sz w:val="14"/>
        </w:rPr>
        <w:t>/Number</w:t>
      </w:r>
      <w:r w:rsidR="00724C6E">
        <w:rPr>
          <w:rFonts w:ascii="Arial"/>
          <w:sz w:val="14"/>
        </w:rPr>
        <w:br/>
      </w:r>
      <w:r w:rsidR="00724C6E" w:rsidRPr="00724C6E">
        <w:rPr>
          <w:rFonts w:ascii="Arial"/>
          <w:sz w:val="14"/>
        </w:rPr>
        <w:t>Category</w:t>
      </w:r>
      <w:r w:rsidR="00724C6E">
        <w:rPr>
          <w:rFonts w:ascii="Arial"/>
          <w:sz w:val="14"/>
        </w:rPr>
        <w:t>: (Oral presentation/</w:t>
      </w:r>
      <w:r w:rsidR="00724C6E" w:rsidRPr="00724C6E">
        <w:rPr>
          <w:rFonts w:ascii="Arial"/>
          <w:sz w:val="14"/>
        </w:rPr>
        <w:t>Poster presentation)</w:t>
      </w:r>
      <w:r w:rsidR="00724C6E">
        <w:rPr>
          <w:rFonts w:ascii="Arial"/>
          <w:sz w:val="14"/>
        </w:rPr>
        <w:br/>
        <w:t xml:space="preserve">Email: </w:t>
      </w:r>
      <w:r>
        <w:rPr>
          <w:rFonts w:ascii="Arial"/>
          <w:sz w:val="14"/>
        </w:rPr>
        <w:t>farzaneh.lotfipour@gmail.com</w:t>
      </w:r>
      <w:hyperlink r:id="rId20" w:history="1"/>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18F28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253B" w:rsidRDefault="00E5253B">
      <w:r>
        <w:separator/>
      </w:r>
    </w:p>
  </w:endnote>
  <w:endnote w:type="continuationSeparator" w:id="0">
    <w:p w:rsidR="00E5253B" w:rsidRDefault="00E52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AFF" w:usb1="C0007841"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Dutch801BT-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253B" w:rsidRDefault="00E5253B">
      <w:r>
        <w:separator/>
      </w:r>
    </w:p>
  </w:footnote>
  <w:footnote w:type="continuationSeparator" w:id="0">
    <w:p w:rsidR="00E5253B" w:rsidRDefault="00E525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DA106A9"/>
    <w:multiLevelType w:val="hybridMultilevel"/>
    <w:tmpl w:val="86167298"/>
    <w:lvl w:ilvl="0" w:tplc="3B128C6C">
      <w:start w:val="1"/>
      <w:numFmt w:val="decimal"/>
      <w:lvlText w:val="%1-"/>
      <w:lvlJc w:val="left"/>
      <w:pPr>
        <w:ind w:left="720" w:hanging="360"/>
      </w:pPr>
      <w:rPr>
        <w:rFonts w:ascii="Tw Cen MT" w:eastAsia="Tw Cen MT" w:hAnsi="Tw Cen MT" w:cs="Tw Cen 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E0840FA"/>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6EFB"/>
    <w:rsid w:val="000E2911"/>
    <w:rsid w:val="001263DF"/>
    <w:rsid w:val="00230930"/>
    <w:rsid w:val="00292ED9"/>
    <w:rsid w:val="00404E5B"/>
    <w:rsid w:val="00414F7B"/>
    <w:rsid w:val="004355DC"/>
    <w:rsid w:val="004749B4"/>
    <w:rsid w:val="00494130"/>
    <w:rsid w:val="004F3523"/>
    <w:rsid w:val="0058384E"/>
    <w:rsid w:val="005973B9"/>
    <w:rsid w:val="005B3A56"/>
    <w:rsid w:val="006060CE"/>
    <w:rsid w:val="0063497F"/>
    <w:rsid w:val="00722E18"/>
    <w:rsid w:val="00724C6E"/>
    <w:rsid w:val="00873DF0"/>
    <w:rsid w:val="008756E6"/>
    <w:rsid w:val="008811CF"/>
    <w:rsid w:val="008B7597"/>
    <w:rsid w:val="009B2D44"/>
    <w:rsid w:val="00A07E82"/>
    <w:rsid w:val="00A85E46"/>
    <w:rsid w:val="00A9710C"/>
    <w:rsid w:val="00AE3E37"/>
    <w:rsid w:val="00B21A57"/>
    <w:rsid w:val="00C33602"/>
    <w:rsid w:val="00CD6F55"/>
    <w:rsid w:val="00D307F1"/>
    <w:rsid w:val="00DE3104"/>
    <w:rsid w:val="00E03A58"/>
    <w:rsid w:val="00E27219"/>
    <w:rsid w:val="00E5253B"/>
    <w:rsid w:val="00EB323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5697F4-50AC-4371-B2DE-20897D2DA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E03A58"/>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77280">
      <w:bodyDiv w:val="1"/>
      <w:marLeft w:val="0"/>
      <w:marRight w:val="0"/>
      <w:marTop w:val="0"/>
      <w:marBottom w:val="0"/>
      <w:divBdr>
        <w:top w:val="none" w:sz="0" w:space="0" w:color="auto"/>
        <w:left w:val="none" w:sz="0" w:space="0" w:color="auto"/>
        <w:bottom w:val="none" w:sz="0" w:space="0" w:color="auto"/>
        <w:right w:val="none" w:sz="0" w:space="0" w:color="auto"/>
      </w:divBdr>
      <w:divsChild>
        <w:div w:id="1153369574">
          <w:marLeft w:val="0"/>
          <w:marRight w:val="0"/>
          <w:marTop w:val="0"/>
          <w:marBottom w:val="0"/>
          <w:divBdr>
            <w:top w:val="none" w:sz="0" w:space="0" w:color="auto"/>
            <w:left w:val="none" w:sz="0" w:space="0" w:color="auto"/>
            <w:bottom w:val="none" w:sz="0" w:space="0" w:color="auto"/>
            <w:right w:val="none" w:sz="0" w:space="0" w:color="auto"/>
          </w:divBdr>
        </w:div>
        <w:div w:id="1201750464">
          <w:marLeft w:val="0"/>
          <w:marRight w:val="0"/>
          <w:marTop w:val="0"/>
          <w:marBottom w:val="0"/>
          <w:divBdr>
            <w:top w:val="none" w:sz="0" w:space="0" w:color="auto"/>
            <w:left w:val="none" w:sz="0" w:space="0" w:color="auto"/>
            <w:bottom w:val="none" w:sz="0" w:space="0" w:color="auto"/>
            <w:right w:val="none" w:sz="0" w:space="0" w:color="auto"/>
          </w:divBdr>
        </w:div>
      </w:divsChild>
    </w:div>
    <w:div w:id="215510227">
      <w:bodyDiv w:val="1"/>
      <w:marLeft w:val="0"/>
      <w:marRight w:val="0"/>
      <w:marTop w:val="0"/>
      <w:marBottom w:val="0"/>
      <w:divBdr>
        <w:top w:val="none" w:sz="0" w:space="0" w:color="auto"/>
        <w:left w:val="none" w:sz="0" w:space="0" w:color="auto"/>
        <w:bottom w:val="none" w:sz="0" w:space="0" w:color="auto"/>
        <w:right w:val="none" w:sz="0" w:space="0" w:color="auto"/>
      </w:divBdr>
      <w:divsChild>
        <w:div w:id="1509976788">
          <w:marLeft w:val="0"/>
          <w:marRight w:val="0"/>
          <w:marTop w:val="0"/>
          <w:marBottom w:val="0"/>
          <w:divBdr>
            <w:top w:val="none" w:sz="0" w:space="0" w:color="auto"/>
            <w:left w:val="none" w:sz="0" w:space="0" w:color="auto"/>
            <w:bottom w:val="none" w:sz="0" w:space="0" w:color="auto"/>
            <w:right w:val="none" w:sz="0" w:space="0" w:color="auto"/>
          </w:divBdr>
        </w:div>
        <w:div w:id="1979609723">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71264554">
      <w:bodyDiv w:val="1"/>
      <w:marLeft w:val="0"/>
      <w:marRight w:val="0"/>
      <w:marTop w:val="0"/>
      <w:marBottom w:val="0"/>
      <w:divBdr>
        <w:top w:val="none" w:sz="0" w:space="0" w:color="auto"/>
        <w:left w:val="none" w:sz="0" w:space="0" w:color="auto"/>
        <w:bottom w:val="none" w:sz="0" w:space="0" w:color="auto"/>
        <w:right w:val="none" w:sz="0" w:space="0" w:color="auto"/>
      </w:divBdr>
      <w:divsChild>
        <w:div w:id="301885152">
          <w:marLeft w:val="0"/>
          <w:marRight w:val="0"/>
          <w:marTop w:val="0"/>
          <w:marBottom w:val="0"/>
          <w:divBdr>
            <w:top w:val="none" w:sz="0" w:space="0" w:color="auto"/>
            <w:left w:val="none" w:sz="0" w:space="0" w:color="auto"/>
            <w:bottom w:val="none" w:sz="0" w:space="0" w:color="auto"/>
            <w:right w:val="none" w:sz="0" w:space="0" w:color="auto"/>
          </w:divBdr>
        </w:div>
        <w:div w:id="1226836023">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74063689">
      <w:bodyDiv w:val="1"/>
      <w:marLeft w:val="0"/>
      <w:marRight w:val="0"/>
      <w:marTop w:val="0"/>
      <w:marBottom w:val="0"/>
      <w:divBdr>
        <w:top w:val="none" w:sz="0" w:space="0" w:color="auto"/>
        <w:left w:val="none" w:sz="0" w:space="0" w:color="auto"/>
        <w:bottom w:val="none" w:sz="0" w:space="0" w:color="auto"/>
        <w:right w:val="none" w:sz="0" w:space="0" w:color="auto"/>
      </w:divBdr>
      <w:divsChild>
        <w:div w:id="1899855390">
          <w:marLeft w:val="0"/>
          <w:marRight w:val="0"/>
          <w:marTop w:val="0"/>
          <w:marBottom w:val="0"/>
          <w:divBdr>
            <w:top w:val="none" w:sz="0" w:space="0" w:color="auto"/>
            <w:left w:val="none" w:sz="0" w:space="0" w:color="auto"/>
            <w:bottom w:val="none" w:sz="0" w:space="0" w:color="auto"/>
            <w:right w:val="none" w:sz="0" w:space="0" w:color="auto"/>
          </w:divBdr>
        </w:div>
        <w:div w:id="1968310962">
          <w:marLeft w:val="0"/>
          <w:marRight w:val="0"/>
          <w:marTop w:val="0"/>
          <w:marBottom w:val="0"/>
          <w:divBdr>
            <w:top w:val="none" w:sz="0" w:space="0" w:color="auto"/>
            <w:left w:val="none" w:sz="0" w:space="0" w:color="auto"/>
            <w:bottom w:val="none" w:sz="0" w:space="0" w:color="auto"/>
            <w:right w:val="none" w:sz="0" w:space="0" w:color="auto"/>
          </w:divBdr>
        </w:div>
      </w:divsChild>
    </w:div>
    <w:div w:id="1977562379">
      <w:bodyDiv w:val="1"/>
      <w:marLeft w:val="0"/>
      <w:marRight w:val="0"/>
      <w:marTop w:val="0"/>
      <w:marBottom w:val="0"/>
      <w:divBdr>
        <w:top w:val="none" w:sz="0" w:space="0" w:color="auto"/>
        <w:left w:val="none" w:sz="0" w:space="0" w:color="auto"/>
        <w:bottom w:val="none" w:sz="0" w:space="0" w:color="auto"/>
        <w:right w:val="none" w:sz="0" w:space="0" w:color="auto"/>
      </w:divBdr>
      <w:divsChild>
        <w:div w:id="1638072531">
          <w:marLeft w:val="0"/>
          <w:marRight w:val="0"/>
          <w:marTop w:val="0"/>
          <w:marBottom w:val="0"/>
          <w:divBdr>
            <w:top w:val="none" w:sz="0" w:space="0" w:color="auto"/>
            <w:left w:val="none" w:sz="0" w:space="0" w:color="auto"/>
            <w:bottom w:val="none" w:sz="0" w:space="0" w:color="auto"/>
            <w:right w:val="none" w:sz="0" w:space="0" w:color="auto"/>
          </w:divBdr>
        </w:div>
        <w:div w:id="85596940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hyperlink" Target="https://scholar.google.com/citations?view_op=view_citation&amp;hl=en&amp;user=Yf7Qks4AAAAJ&amp;citation_for_view=Yf7Qks4AAAAJ:d1gkVwhDpl0C"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hyperlink" Target="https://scholar.google.com/citations?view_op=view_citation&amp;hl=en&amp;user=Yf7Qks4AAAAJ&amp;citation_for_view=Yf7Qks4AAAAJ:roLk4NBRz8UC" TargetMode="External"/><Relationship Id="rId2" Type="http://schemas.openxmlformats.org/officeDocument/2006/relationships/styles" Target="styles.xml"/><Relationship Id="rId16" Type="http://schemas.openxmlformats.org/officeDocument/2006/relationships/hyperlink" Target="https://scholar.google.com/citations?view_op=view_citation&amp;hl=en&amp;user=Yf7Qks4AAAAJ&amp;citation_for_view=Yf7Qks4AAAAJ:kOdZbmsmKqcC" TargetMode="External"/><Relationship Id="rId20"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s://scholar.google.com/citations?view_op=view_citation&amp;hl=en&amp;user=Yf7Qks4AAAAJ&amp;citation_for_view=Yf7Qks4AAAAJ:UeHWp8X0CEIC" TargetMode="External"/><Relationship Id="rId10" Type="http://schemas.openxmlformats.org/officeDocument/2006/relationships/image" Target="media/image2.jpeg"/><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scholar.google.com/citations?view_op=view_citation&amp;hl=en&amp;user=Yf7Qks4AAAAJ&amp;citation_for_view=Yf7Qks4AAAAJ:bEWYMUwI8FkC"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2</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DR-LOTFIPUR</cp:lastModifiedBy>
  <cp:revision>5</cp:revision>
  <dcterms:created xsi:type="dcterms:W3CDTF">2017-05-02T07:07:00Z</dcterms:created>
  <dcterms:modified xsi:type="dcterms:W3CDTF">2017-05-02T09:10:00Z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