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3177" w:rsidRPr="00C97A69" w:rsidRDefault="00853177" w:rsidP="00853177">
      <w:pPr>
        <w:jc w:val="center"/>
        <w:rPr>
          <w:b/>
          <w:lang w:val="en-US"/>
        </w:rPr>
      </w:pPr>
      <w:proofErr w:type="spellStart"/>
      <w:r>
        <w:rPr>
          <w:b/>
          <w:lang w:val="en-US"/>
        </w:rPr>
        <w:t>Micro</w:t>
      </w:r>
      <w:r w:rsidRPr="00C97A69">
        <w:rPr>
          <w:b/>
          <w:lang w:val="en-US"/>
        </w:rPr>
        <w:t>patterning</w:t>
      </w:r>
      <w:proofErr w:type="spellEnd"/>
      <w:r w:rsidRPr="00C97A69">
        <w:rPr>
          <w:b/>
          <w:lang w:val="en-US"/>
        </w:rPr>
        <w:t xml:space="preserve"> of </w:t>
      </w:r>
      <w:r>
        <w:rPr>
          <w:b/>
          <w:lang w:val="en-US"/>
        </w:rPr>
        <w:t>M</w:t>
      </w:r>
      <w:r w:rsidRPr="00C97A69">
        <w:rPr>
          <w:b/>
          <w:lang w:val="en-US"/>
        </w:rPr>
        <w:t xml:space="preserve">ultifunctional </w:t>
      </w:r>
      <w:r>
        <w:rPr>
          <w:b/>
          <w:lang w:val="en-US"/>
        </w:rPr>
        <w:t>C</w:t>
      </w:r>
      <w:r w:rsidRPr="00C97A69">
        <w:rPr>
          <w:b/>
          <w:lang w:val="en-US"/>
        </w:rPr>
        <w:t xml:space="preserve">oatings by UV-triggered </w:t>
      </w:r>
      <w:r>
        <w:rPr>
          <w:b/>
          <w:lang w:val="en-US"/>
        </w:rPr>
        <w:t>P</w:t>
      </w:r>
      <w:r w:rsidRPr="00C97A69">
        <w:rPr>
          <w:b/>
          <w:lang w:val="en-US"/>
        </w:rPr>
        <w:t xml:space="preserve">olymerization of </w:t>
      </w:r>
      <w:r>
        <w:rPr>
          <w:b/>
          <w:lang w:val="en-US"/>
        </w:rPr>
        <w:t>P</w:t>
      </w:r>
      <w:r w:rsidRPr="00C97A69">
        <w:rPr>
          <w:b/>
          <w:lang w:val="en-US"/>
        </w:rPr>
        <w:t xml:space="preserve">lant </w:t>
      </w:r>
      <w:r>
        <w:rPr>
          <w:b/>
          <w:lang w:val="en-US"/>
        </w:rPr>
        <w:t>P</w:t>
      </w:r>
      <w:r w:rsidRPr="00C97A69">
        <w:rPr>
          <w:b/>
          <w:lang w:val="en-US"/>
        </w:rPr>
        <w:t xml:space="preserve">henolic </w:t>
      </w:r>
      <w:r>
        <w:rPr>
          <w:b/>
          <w:lang w:val="en-US"/>
        </w:rPr>
        <w:t>C</w:t>
      </w:r>
      <w:r w:rsidRPr="00C97A69">
        <w:rPr>
          <w:b/>
          <w:lang w:val="en-US"/>
        </w:rPr>
        <w:t>ompounds</w:t>
      </w:r>
    </w:p>
    <w:p w:rsidR="00853177" w:rsidRPr="00DC002A" w:rsidRDefault="00853177" w:rsidP="00853177">
      <w:pPr>
        <w:jc w:val="center"/>
        <w:rPr>
          <w:rFonts w:ascii="Arial" w:hAnsi="Arial" w:cs="Arial"/>
          <w:i/>
          <w:sz w:val="18"/>
          <w:szCs w:val="18"/>
          <w:vertAlign w:val="superscript"/>
          <w:lang w:val="en-US"/>
        </w:rPr>
      </w:pPr>
      <w:r w:rsidRPr="00DC002A">
        <w:rPr>
          <w:rFonts w:ascii="Arial" w:hAnsi="Arial" w:cs="Arial"/>
          <w:i/>
          <w:sz w:val="18"/>
          <w:szCs w:val="18"/>
          <w:lang w:val="en-US"/>
        </w:rPr>
        <w:t>F</w:t>
      </w:r>
      <w:r>
        <w:rPr>
          <w:rFonts w:ascii="Arial" w:hAnsi="Arial" w:cs="Arial"/>
          <w:i/>
          <w:sz w:val="18"/>
          <w:szCs w:val="18"/>
          <w:lang w:val="en-US"/>
        </w:rPr>
        <w:t>.</w:t>
      </w:r>
      <w:r w:rsidRPr="00DC002A">
        <w:rPr>
          <w:rFonts w:ascii="Arial" w:hAnsi="Arial" w:cs="Arial"/>
          <w:i/>
          <w:sz w:val="18"/>
          <w:szCs w:val="18"/>
          <w:lang w:val="en-US"/>
        </w:rPr>
        <w:t xml:space="preserve"> Behboodi</w:t>
      </w:r>
      <w:r>
        <w:rPr>
          <w:rFonts w:ascii="Arial" w:hAnsi="Arial" w:cs="Arial"/>
          <w:i/>
          <w:sz w:val="18"/>
          <w:szCs w:val="18"/>
          <w:lang w:val="en-US"/>
        </w:rPr>
        <w:t>-</w:t>
      </w:r>
      <w:r>
        <w:rPr>
          <w:rFonts w:ascii="Arial" w:hAnsi="Arial" w:cs="Arial"/>
          <w:i/>
          <w:sz w:val="18"/>
          <w:szCs w:val="18"/>
          <w:lang w:val="en-US"/>
        </w:rPr>
        <w:t>Sadabad</w:t>
      </w:r>
      <w:r>
        <w:rPr>
          <w:rFonts w:ascii="Arial" w:hAnsi="Arial" w:cs="Arial"/>
          <w:i/>
          <w:sz w:val="18"/>
          <w:szCs w:val="18"/>
          <w:vertAlign w:val="superscript"/>
          <w:lang w:val="en-US"/>
        </w:rPr>
        <w:t>1</w:t>
      </w:r>
      <w:r w:rsidRPr="00DC002A">
        <w:rPr>
          <w:rFonts w:ascii="Arial" w:hAnsi="Arial" w:cs="Arial"/>
          <w:i/>
          <w:sz w:val="18"/>
          <w:szCs w:val="18"/>
          <w:lang w:val="en-US"/>
        </w:rPr>
        <w:t xml:space="preserve">, </w:t>
      </w:r>
      <w:r w:rsidRPr="00DE76E1">
        <w:rPr>
          <w:rFonts w:ascii="Arial" w:hAnsi="Arial" w:cs="Arial"/>
          <w:i/>
          <w:sz w:val="18"/>
          <w:szCs w:val="18"/>
          <w:lang w:val="en-US"/>
        </w:rPr>
        <w:t>H</w:t>
      </w:r>
      <w:r>
        <w:rPr>
          <w:rFonts w:ascii="Arial" w:hAnsi="Arial" w:cs="Arial"/>
          <w:i/>
          <w:sz w:val="18"/>
          <w:szCs w:val="18"/>
          <w:lang w:val="en-US"/>
        </w:rPr>
        <w:t>.</w:t>
      </w:r>
      <w:r w:rsidRPr="00DE76E1">
        <w:rPr>
          <w:rFonts w:ascii="Arial" w:hAnsi="Arial" w:cs="Arial"/>
          <w:i/>
          <w:sz w:val="18"/>
          <w:szCs w:val="18"/>
          <w:lang w:val="en-US"/>
        </w:rPr>
        <w:t xml:space="preserve"> Zhang</w:t>
      </w:r>
      <w:r>
        <w:rPr>
          <w:rFonts w:ascii="Arial" w:hAnsi="Arial" w:cs="Arial"/>
          <w:i/>
          <w:sz w:val="18"/>
          <w:szCs w:val="18"/>
          <w:vertAlign w:val="superscript"/>
          <w:lang w:val="en-US"/>
        </w:rPr>
        <w:t>2</w:t>
      </w:r>
      <w:r>
        <w:rPr>
          <w:rFonts w:ascii="Arial" w:hAnsi="Arial" w:cs="Arial"/>
          <w:i/>
          <w:sz w:val="18"/>
          <w:szCs w:val="18"/>
          <w:lang w:val="en-US"/>
        </w:rPr>
        <w:t>,</w:t>
      </w:r>
      <w:r w:rsidRPr="00DE76E1">
        <w:rPr>
          <w:rFonts w:ascii="Arial" w:hAnsi="Arial" w:cs="Arial"/>
          <w:i/>
          <w:sz w:val="18"/>
          <w:szCs w:val="18"/>
          <w:lang w:val="en-US"/>
        </w:rPr>
        <w:t xml:space="preserve"> </w:t>
      </w:r>
      <w:r w:rsidRPr="00DC002A">
        <w:rPr>
          <w:rFonts w:ascii="Arial" w:hAnsi="Arial" w:cs="Arial"/>
          <w:i/>
          <w:sz w:val="18"/>
          <w:szCs w:val="18"/>
          <w:lang w:val="en-US"/>
        </w:rPr>
        <w:t>V</w:t>
      </w:r>
      <w:r>
        <w:rPr>
          <w:rFonts w:ascii="Arial" w:hAnsi="Arial" w:cs="Arial"/>
          <w:i/>
          <w:sz w:val="18"/>
          <w:szCs w:val="18"/>
          <w:lang w:val="en-US"/>
        </w:rPr>
        <w:t>.</w:t>
      </w:r>
      <w:r w:rsidRPr="00DC002A">
        <w:rPr>
          <w:rFonts w:ascii="Arial" w:hAnsi="Arial" w:cs="Arial"/>
          <w:i/>
          <w:sz w:val="18"/>
          <w:szCs w:val="18"/>
          <w:lang w:val="en-US"/>
        </w:rPr>
        <w:t xml:space="preserve"> Trouillet</w:t>
      </w:r>
      <w:r>
        <w:rPr>
          <w:rFonts w:ascii="Arial" w:hAnsi="Arial" w:cs="Arial"/>
          <w:i/>
          <w:sz w:val="18"/>
          <w:szCs w:val="18"/>
          <w:vertAlign w:val="superscript"/>
          <w:lang w:val="en-US"/>
        </w:rPr>
        <w:t>1</w:t>
      </w:r>
      <w:r w:rsidRPr="00DC002A">
        <w:rPr>
          <w:rFonts w:ascii="Arial" w:hAnsi="Arial" w:cs="Arial"/>
          <w:i/>
          <w:sz w:val="18"/>
          <w:szCs w:val="18"/>
          <w:lang w:val="en-US"/>
        </w:rPr>
        <w:t>, A</w:t>
      </w:r>
      <w:r>
        <w:rPr>
          <w:rFonts w:ascii="Arial" w:hAnsi="Arial" w:cs="Arial"/>
          <w:i/>
          <w:sz w:val="18"/>
          <w:szCs w:val="18"/>
          <w:lang w:val="en-US"/>
        </w:rPr>
        <w:t>.</w:t>
      </w:r>
      <w:r w:rsidRPr="00DC002A">
        <w:rPr>
          <w:rFonts w:ascii="Arial" w:hAnsi="Arial" w:cs="Arial"/>
          <w:i/>
          <w:sz w:val="18"/>
          <w:szCs w:val="18"/>
          <w:lang w:val="en-US"/>
        </w:rPr>
        <w:t xml:space="preserve"> Welle</w:t>
      </w:r>
      <w:r>
        <w:rPr>
          <w:rFonts w:ascii="Arial" w:hAnsi="Arial" w:cs="Arial"/>
          <w:i/>
          <w:sz w:val="18"/>
          <w:szCs w:val="18"/>
          <w:vertAlign w:val="superscript"/>
          <w:lang w:val="en-US"/>
        </w:rPr>
        <w:t>1</w:t>
      </w:r>
      <w:r w:rsidRPr="00DC002A">
        <w:rPr>
          <w:rFonts w:ascii="Arial" w:hAnsi="Arial" w:cs="Arial"/>
          <w:i/>
          <w:sz w:val="18"/>
          <w:szCs w:val="18"/>
          <w:lang w:val="en-US"/>
        </w:rPr>
        <w:t xml:space="preserve">, </w:t>
      </w:r>
      <w:r w:rsidRPr="00DE76E1">
        <w:rPr>
          <w:rFonts w:ascii="Arial" w:hAnsi="Arial" w:cs="Arial"/>
          <w:i/>
          <w:sz w:val="18"/>
          <w:szCs w:val="18"/>
          <w:lang w:val="en-US"/>
        </w:rPr>
        <w:t>N</w:t>
      </w:r>
      <w:r>
        <w:rPr>
          <w:rFonts w:ascii="Arial" w:hAnsi="Arial" w:cs="Arial"/>
          <w:i/>
          <w:sz w:val="18"/>
          <w:szCs w:val="18"/>
          <w:lang w:val="en-US"/>
        </w:rPr>
        <w:t>.</w:t>
      </w:r>
      <w:r w:rsidRPr="00DE76E1">
        <w:rPr>
          <w:rFonts w:ascii="Arial" w:hAnsi="Arial" w:cs="Arial"/>
          <w:i/>
          <w:sz w:val="18"/>
          <w:szCs w:val="18"/>
          <w:lang w:val="en-US"/>
        </w:rPr>
        <w:t xml:space="preserve"> Plumeré</w:t>
      </w:r>
      <w:r>
        <w:rPr>
          <w:rFonts w:ascii="Arial" w:hAnsi="Arial" w:cs="Arial"/>
          <w:i/>
          <w:sz w:val="18"/>
          <w:szCs w:val="18"/>
          <w:vertAlign w:val="superscript"/>
          <w:lang w:val="en-US"/>
        </w:rPr>
        <w:t>2</w:t>
      </w:r>
      <w:r>
        <w:rPr>
          <w:rFonts w:ascii="Arial" w:hAnsi="Arial" w:cs="Arial"/>
          <w:i/>
          <w:sz w:val="18"/>
          <w:szCs w:val="18"/>
          <w:lang w:val="en-US"/>
        </w:rPr>
        <w:t xml:space="preserve">, </w:t>
      </w:r>
      <w:r w:rsidRPr="00DC002A">
        <w:rPr>
          <w:rFonts w:ascii="Arial" w:hAnsi="Arial" w:cs="Arial"/>
          <w:i/>
          <w:sz w:val="18"/>
          <w:szCs w:val="18"/>
          <w:lang w:val="en-US"/>
        </w:rPr>
        <w:t>P</w:t>
      </w:r>
      <w:r>
        <w:rPr>
          <w:rFonts w:ascii="Arial" w:hAnsi="Arial" w:cs="Arial"/>
          <w:i/>
          <w:sz w:val="18"/>
          <w:szCs w:val="18"/>
          <w:lang w:val="en-US"/>
        </w:rPr>
        <w:t>.</w:t>
      </w:r>
      <w:r w:rsidRPr="00DC002A">
        <w:rPr>
          <w:rFonts w:ascii="Arial" w:hAnsi="Arial" w:cs="Arial"/>
          <w:i/>
          <w:sz w:val="18"/>
          <w:szCs w:val="18"/>
          <w:lang w:val="en-US"/>
        </w:rPr>
        <w:t xml:space="preserve"> Levkin</w:t>
      </w:r>
      <w:r>
        <w:rPr>
          <w:rFonts w:ascii="Arial" w:hAnsi="Arial" w:cs="Arial"/>
          <w:i/>
          <w:sz w:val="18"/>
          <w:szCs w:val="18"/>
          <w:lang w:val="en-US"/>
        </w:rPr>
        <w:t>*</w:t>
      </w:r>
      <w:r>
        <w:rPr>
          <w:rFonts w:ascii="Arial" w:hAnsi="Arial" w:cs="Arial"/>
          <w:i/>
          <w:sz w:val="18"/>
          <w:szCs w:val="18"/>
          <w:vertAlign w:val="superscript"/>
          <w:lang w:val="en-US"/>
        </w:rPr>
        <w:t>1</w:t>
      </w:r>
    </w:p>
    <w:p w:rsidR="00853177" w:rsidRPr="00626A26" w:rsidRDefault="00853177" w:rsidP="00853177">
      <w:pPr>
        <w:jc w:val="center"/>
        <w:rPr>
          <w:rFonts w:ascii="Arial" w:hAnsi="Arial" w:cs="Arial"/>
          <w:i/>
          <w:sz w:val="18"/>
          <w:szCs w:val="18"/>
          <w:lang w:val="de-DE"/>
        </w:rPr>
      </w:pPr>
      <w:r>
        <w:rPr>
          <w:rFonts w:ascii="Arial" w:hAnsi="Arial" w:cs="Arial"/>
          <w:i/>
          <w:sz w:val="18"/>
          <w:szCs w:val="18"/>
          <w:vertAlign w:val="superscript"/>
          <w:lang w:val="en-US"/>
        </w:rPr>
        <w:t>1</w:t>
      </w:r>
      <w:r w:rsidRPr="00DC002A">
        <w:rPr>
          <w:rFonts w:ascii="Arial" w:hAnsi="Arial" w:cs="Arial"/>
          <w:i/>
          <w:sz w:val="18"/>
          <w:szCs w:val="18"/>
          <w:lang w:val="en-US"/>
        </w:rPr>
        <w:t>Karlsruhe Institute o</w:t>
      </w:r>
      <w:bookmarkStart w:id="0" w:name="_GoBack"/>
      <w:bookmarkEnd w:id="0"/>
      <w:r w:rsidRPr="00DC002A">
        <w:rPr>
          <w:rFonts w:ascii="Arial" w:hAnsi="Arial" w:cs="Arial"/>
          <w:i/>
          <w:sz w:val="18"/>
          <w:szCs w:val="18"/>
          <w:lang w:val="en-US"/>
        </w:rPr>
        <w:t>f Technology (KIT), Germany</w:t>
      </w:r>
      <w:r>
        <w:rPr>
          <w:rFonts w:ascii="Arial" w:hAnsi="Arial" w:cs="Arial"/>
          <w:i/>
          <w:sz w:val="18"/>
          <w:szCs w:val="18"/>
          <w:lang w:val="en-US"/>
        </w:rPr>
        <w:t xml:space="preserve">; </w:t>
      </w:r>
      <w:r>
        <w:rPr>
          <w:rFonts w:ascii="Arial" w:hAnsi="Arial" w:cs="Arial"/>
          <w:i/>
          <w:sz w:val="18"/>
          <w:szCs w:val="18"/>
          <w:vertAlign w:val="superscript"/>
          <w:lang w:val="de-DE"/>
        </w:rPr>
        <w:t>2</w:t>
      </w:r>
      <w:r w:rsidRPr="00626A26">
        <w:rPr>
          <w:rFonts w:ascii="Arial" w:hAnsi="Arial" w:cs="Arial"/>
          <w:i/>
          <w:sz w:val="18"/>
          <w:szCs w:val="18"/>
          <w:lang w:val="de-DE"/>
        </w:rPr>
        <w:t>Ruhr-Universität Bochum, Germany</w:t>
      </w:r>
    </w:p>
    <w:p w:rsidR="00853177" w:rsidRDefault="00853177" w:rsidP="00853177">
      <w:pPr>
        <w:jc w:val="center"/>
        <w:rPr>
          <w:rFonts w:ascii="Arial" w:hAnsi="Arial" w:cs="Arial"/>
          <w:i/>
          <w:color w:val="0000FF"/>
          <w:sz w:val="18"/>
          <w:szCs w:val="18"/>
          <w:lang w:val="de-DE"/>
        </w:rPr>
      </w:pPr>
      <w:hyperlink r:id="rId5" w:history="1">
        <w:r w:rsidRPr="00B27C94">
          <w:rPr>
            <w:rStyle w:val="Hyperlink"/>
            <w:rFonts w:ascii="Arial" w:hAnsi="Arial" w:cs="Arial"/>
            <w:i/>
            <w:sz w:val="18"/>
            <w:szCs w:val="18"/>
            <w:lang w:val="de-DE"/>
          </w:rPr>
          <w:t>farid.sadabad@kit.edu</w:t>
        </w:r>
      </w:hyperlink>
    </w:p>
    <w:p w:rsidR="00853177" w:rsidRDefault="00853177" w:rsidP="00853177">
      <w:pPr>
        <w:rPr>
          <w:rFonts w:ascii="Arial" w:hAnsi="Arial" w:cs="Arial"/>
          <w:i/>
          <w:color w:val="0000FF"/>
          <w:sz w:val="18"/>
          <w:szCs w:val="18"/>
          <w:lang w:val="de-DE"/>
        </w:rPr>
      </w:pPr>
    </w:p>
    <w:p w:rsidR="00853177" w:rsidRDefault="00853177" w:rsidP="00853177">
      <w:pPr>
        <w:ind w:right="34"/>
        <w:jc w:val="both"/>
        <w:rPr>
          <w:rFonts w:ascii="Arial" w:hAnsi="Arial" w:cs="Arial"/>
          <w:lang w:val="en-US"/>
        </w:rPr>
      </w:pPr>
      <w:r w:rsidRPr="00626A26">
        <w:rPr>
          <w:rFonts w:ascii="Arial" w:hAnsi="Arial" w:cs="Arial"/>
          <w:lang w:val="en-US"/>
        </w:rPr>
        <w:t xml:space="preserve">Plant-derived phenolic compounds, rich in catechol and pyrogallol moieties, can form multifunctional nanocoatings on various substrates, following polymerization under mildly alkaline pH solutions. Despite a lot of appealing features of such coatings, the difficulty to control this polymerization spatially and temporally, limits the number of potential applications of plant polyphenols. Here we demonstrate for the first time that UV irradiation can trigger oxidative polymerization and deposition of plant-derived phenolic compounds, which opens the possibility to create 2D gradients and patterns of polyphenol nanocoatings and control this polymerization temporally. UV-Vis spectroscopy, ESI-MS, and cyclic voltammetry analyses were used to investigate the UV-induced polymerization of several plant-derived phenolic compounds including pyrogallol, tannic acid, caffeic acid, and gallic acid. Deposition of polyphenol nanocoatings on polar and non-polar substrates after UV irradiation was studied using AFM, </w:t>
      </w:r>
      <w:proofErr w:type="spellStart"/>
      <w:r w:rsidRPr="00626A26">
        <w:rPr>
          <w:rFonts w:ascii="Arial" w:hAnsi="Arial" w:cs="Arial"/>
          <w:lang w:val="en-US"/>
        </w:rPr>
        <w:t>ToF</w:t>
      </w:r>
      <w:proofErr w:type="spellEnd"/>
      <w:r w:rsidRPr="00626A26">
        <w:rPr>
          <w:rFonts w:ascii="Arial" w:hAnsi="Arial" w:cs="Arial"/>
          <w:lang w:val="en-US"/>
        </w:rPr>
        <w:t>-SIMS and XPS. The ability to use UV-light to trigger polymerization and deposition of phenolic compounds opens the possibility to create polyphenol patterns</w:t>
      </w:r>
      <w:r w:rsidRPr="001D5E92">
        <w:rPr>
          <w:rFonts w:ascii="Arial" w:hAnsi="Arial" w:cs="Arial"/>
          <w:lang w:val="en-US"/>
        </w:rPr>
        <w:t xml:space="preserve"> and gradients within microfluidic channels, which was demonstrated by  creating a pattern of </w:t>
      </w:r>
      <w:r>
        <w:rPr>
          <w:rFonts w:ascii="Arial" w:hAnsi="Arial" w:cs="Arial"/>
          <w:lang w:val="en-US"/>
        </w:rPr>
        <w:t>polyphenol</w:t>
      </w:r>
      <w:r w:rsidRPr="001D5E92">
        <w:rPr>
          <w:rFonts w:ascii="Arial" w:hAnsi="Arial" w:cs="Arial"/>
          <w:lang w:val="en-US"/>
        </w:rPr>
        <w:t xml:space="preserve"> inside a fused silica capillary. The use of UV-light to accelerate </w:t>
      </w:r>
      <w:r>
        <w:rPr>
          <w:rFonts w:ascii="Arial" w:hAnsi="Arial" w:cs="Arial"/>
          <w:lang w:val="en-US"/>
        </w:rPr>
        <w:t>polymerization</w:t>
      </w:r>
      <w:r w:rsidRPr="001D5E92">
        <w:rPr>
          <w:rFonts w:ascii="Arial" w:hAnsi="Arial" w:cs="Arial"/>
          <w:lang w:val="en-US"/>
        </w:rPr>
        <w:t xml:space="preserve"> of polyphenol opens the possibility for the photolithographic patterning of functional polyphenolic nanocoatings on various substrates, extending the scope of potential applications of plant polyphenols.</w:t>
      </w:r>
    </w:p>
    <w:p w:rsidR="00853177" w:rsidRDefault="00853177" w:rsidP="00853177">
      <w:pPr>
        <w:jc w:val="center"/>
      </w:pPr>
      <w:r w:rsidRPr="00BD7EC0">
        <w:t xml:space="preserve"> </w:t>
      </w:r>
      <w:r w:rsidRPr="00BD7EC0">
        <w:rPr>
          <w:noProof/>
          <w:lang w:val="de-DE" w:eastAsia="de-DE"/>
        </w:rPr>
        <w:drawing>
          <wp:inline distT="0" distB="0" distL="0" distR="0">
            <wp:extent cx="4509100" cy="4552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11020" cy="4554889"/>
                    </a:xfrm>
                    <a:prstGeom prst="rect">
                      <a:avLst/>
                    </a:prstGeom>
                    <a:noFill/>
                    <a:ln>
                      <a:noFill/>
                    </a:ln>
                  </pic:spPr>
                </pic:pic>
              </a:graphicData>
            </a:graphic>
          </wp:inline>
        </w:drawing>
      </w:r>
    </w:p>
    <w:p w:rsidR="00853177" w:rsidRPr="00853177" w:rsidRDefault="00853177" w:rsidP="00853177">
      <w:pPr>
        <w:jc w:val="both"/>
        <w:rPr>
          <w:lang w:val="en-US"/>
        </w:rPr>
      </w:pPr>
      <w:r w:rsidRPr="00626A26">
        <w:rPr>
          <w:rFonts w:ascii="Arial" w:hAnsi="Arial" w:cs="Arial"/>
          <w:lang w:val="en-US"/>
        </w:rPr>
        <w:t xml:space="preserve">Figure 1. </w:t>
      </w:r>
      <w:r>
        <w:rPr>
          <w:rFonts w:ascii="Arial" w:hAnsi="Arial" w:cs="Arial"/>
          <w:lang w:val="en-US"/>
        </w:rPr>
        <w:t xml:space="preserve">(A) </w:t>
      </w:r>
      <w:r w:rsidRPr="005307A4">
        <w:rPr>
          <w:rFonts w:ascii="Arial" w:hAnsi="Arial" w:cs="Arial"/>
          <w:lang w:val="en-US"/>
        </w:rPr>
        <w:t>ESI-MS spectra of UV-irradiated PG polymerization</w:t>
      </w:r>
      <w:r>
        <w:rPr>
          <w:rFonts w:ascii="Arial" w:hAnsi="Arial" w:cs="Arial"/>
          <w:lang w:val="en-US"/>
        </w:rPr>
        <w:t xml:space="preserve"> solution</w:t>
      </w:r>
      <w:r w:rsidRPr="005307A4">
        <w:rPr>
          <w:rFonts w:ascii="Arial" w:hAnsi="Arial" w:cs="Arial"/>
          <w:lang w:val="en-US"/>
        </w:rPr>
        <w:t xml:space="preserve"> and schematic representation of polymerization reaction.</w:t>
      </w:r>
      <w:r w:rsidRPr="00626A26">
        <w:rPr>
          <w:rFonts w:ascii="Arial" w:hAnsi="Arial" w:cs="Arial"/>
          <w:lang w:val="en-US"/>
        </w:rPr>
        <w:t xml:space="preserve"> (</w:t>
      </w:r>
      <w:r>
        <w:rPr>
          <w:rFonts w:ascii="Arial" w:hAnsi="Arial" w:cs="Arial"/>
          <w:lang w:val="en-US"/>
        </w:rPr>
        <w:t>B</w:t>
      </w:r>
      <w:r w:rsidRPr="00626A26">
        <w:rPr>
          <w:rFonts w:ascii="Arial" w:hAnsi="Arial" w:cs="Arial"/>
          <w:lang w:val="en-US"/>
        </w:rPr>
        <w:t>) Bright-field microscopy image of a silver particle pattern produced on surface of phenolic pattern</w:t>
      </w:r>
      <w:r>
        <w:rPr>
          <w:rFonts w:ascii="Arial" w:hAnsi="Arial" w:cs="Arial"/>
          <w:lang w:val="en-US"/>
        </w:rPr>
        <w:t>.</w:t>
      </w:r>
      <w:r w:rsidRPr="00626A26">
        <w:rPr>
          <w:rFonts w:ascii="Arial" w:hAnsi="Arial" w:cs="Arial"/>
          <w:lang w:val="en-US"/>
        </w:rPr>
        <w:t xml:space="preserve"> Red fluorescence pattern formed by treatment of the phenolic patterns with a rhodamine-thiol solution. (</w:t>
      </w:r>
      <w:r>
        <w:rPr>
          <w:rFonts w:ascii="Arial" w:hAnsi="Arial" w:cs="Arial"/>
          <w:lang w:val="en-US"/>
        </w:rPr>
        <w:t>C</w:t>
      </w:r>
      <w:r w:rsidRPr="00626A26">
        <w:rPr>
          <w:rFonts w:ascii="Arial" w:hAnsi="Arial" w:cs="Arial"/>
          <w:lang w:val="en-US"/>
        </w:rPr>
        <w:t xml:space="preserve">) </w:t>
      </w:r>
      <w:proofErr w:type="spellStart"/>
      <w:r w:rsidRPr="00626A26">
        <w:rPr>
          <w:rFonts w:ascii="Arial" w:hAnsi="Arial" w:cs="Arial"/>
          <w:lang w:val="en-US"/>
        </w:rPr>
        <w:t>ToF</w:t>
      </w:r>
      <w:proofErr w:type="spellEnd"/>
      <w:r w:rsidRPr="00626A26">
        <w:rPr>
          <w:rFonts w:ascii="Arial" w:hAnsi="Arial" w:cs="Arial"/>
          <w:lang w:val="en-US"/>
        </w:rPr>
        <w:t>-SIMS ion intensity map of a phenolic square pattern on PTFE substrate produced by photopatterning (top), and silver ion intensity map of modified pattern with silver nitrate aqueous solution for 48 h (bottom). (</w:t>
      </w:r>
      <w:r>
        <w:rPr>
          <w:rFonts w:ascii="Arial" w:hAnsi="Arial" w:cs="Arial"/>
          <w:lang w:val="en-US"/>
        </w:rPr>
        <w:t>D</w:t>
      </w:r>
      <w:r w:rsidRPr="00626A26">
        <w:rPr>
          <w:rFonts w:ascii="Arial" w:hAnsi="Arial" w:cs="Arial"/>
          <w:lang w:val="en-US"/>
        </w:rPr>
        <w:t>) Polyphenolic gradient pattern (</w:t>
      </w:r>
      <w:r>
        <w:rPr>
          <w:rFonts w:ascii="Arial" w:hAnsi="Arial" w:cs="Arial"/>
          <w:lang w:val="en-US"/>
        </w:rPr>
        <w:t>E</w:t>
      </w:r>
      <w:r w:rsidRPr="00626A26">
        <w:rPr>
          <w:rFonts w:ascii="Arial" w:hAnsi="Arial" w:cs="Arial"/>
          <w:lang w:val="en-US"/>
        </w:rPr>
        <w:t>) Phenolic pattern inside a microfluidic capillary</w:t>
      </w:r>
      <w:r>
        <w:rPr>
          <w:rFonts w:ascii="Arial" w:hAnsi="Arial" w:cs="Arial"/>
          <w:lang w:val="en-US"/>
        </w:rPr>
        <w:t>.</w:t>
      </w:r>
    </w:p>
    <w:sectPr w:rsidR="00853177" w:rsidRPr="0085317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A971112"/>
    <w:multiLevelType w:val="hybridMultilevel"/>
    <w:tmpl w:val="80F6F76C"/>
    <w:lvl w:ilvl="0" w:tplc="6FF68808">
      <w:start w:val="1"/>
      <w:numFmt w:val="decimal"/>
      <w:pStyle w:val="AdvFunMatfirstorderheading"/>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177"/>
    <w:rsid w:val="00305B27"/>
    <w:rsid w:val="004D0BC0"/>
    <w:rsid w:val="00853177"/>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1929FB-FB10-4798-AA41-03D9B0549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3177"/>
    <w:pPr>
      <w:spacing w:after="0" w:line="240" w:lineRule="auto"/>
    </w:pPr>
    <w:rPr>
      <w:rFonts w:ascii="Times New Roman" w:eastAsia="Times New Roman" w:hAnsi="Times New Roman" w:cs="Times New Roman"/>
      <w:sz w:val="20"/>
      <w:szCs w:val="24"/>
      <w:lang w:val="en-GB"/>
    </w:rPr>
  </w:style>
  <w:style w:type="paragraph" w:styleId="Heading3">
    <w:name w:val="heading 3"/>
    <w:basedOn w:val="Normal"/>
    <w:next w:val="Normal"/>
    <w:link w:val="Heading3Char"/>
    <w:uiPriority w:val="9"/>
    <w:semiHidden/>
    <w:unhideWhenUsed/>
    <w:qFormat/>
    <w:rsid w:val="00305B27"/>
    <w:pPr>
      <w:keepNext/>
      <w:keepLines/>
      <w:spacing w:before="40" w:line="259" w:lineRule="auto"/>
      <w:outlineLvl w:val="2"/>
    </w:pPr>
    <w:rPr>
      <w:rFonts w:asciiTheme="majorHAnsi" w:eastAsiaTheme="majorEastAsia" w:hAnsiTheme="majorHAnsi" w:cstheme="majorBidi"/>
      <w:color w:val="1F4D78" w:themeColor="accent1" w:themeShade="7F"/>
      <w:sz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vFunMatfirstorderheading">
    <w:name w:val="Adv. Fun. Mat. first order heading"/>
    <w:basedOn w:val="Normal"/>
    <w:next w:val="Normal"/>
    <w:link w:val="AdvFunMatfirstorderheadingChar"/>
    <w:qFormat/>
    <w:rsid w:val="00305B27"/>
    <w:pPr>
      <w:numPr>
        <w:numId w:val="1"/>
      </w:numPr>
      <w:spacing w:line="360" w:lineRule="auto"/>
      <w:ind w:left="284" w:hanging="284"/>
    </w:pPr>
    <w:rPr>
      <w:rFonts w:asciiTheme="minorHAnsi" w:eastAsiaTheme="minorHAnsi" w:hAnsiTheme="minorHAnsi" w:cstheme="minorBidi"/>
      <w:b/>
      <w:sz w:val="24"/>
      <w:lang w:val="en-US" w:eastAsia="ja-JP"/>
    </w:rPr>
  </w:style>
  <w:style w:type="character" w:customStyle="1" w:styleId="AdvFunMatfirstorderheadingChar">
    <w:name w:val="Adv. Fun. Mat. first order heading Char"/>
    <w:basedOn w:val="DefaultParagraphFont"/>
    <w:link w:val="AdvFunMatfirstorderheading"/>
    <w:rsid w:val="00305B27"/>
    <w:rPr>
      <w:b/>
      <w:sz w:val="24"/>
      <w:szCs w:val="24"/>
      <w:lang w:val="en-US" w:eastAsia="ja-JP"/>
    </w:rPr>
  </w:style>
  <w:style w:type="paragraph" w:customStyle="1" w:styleId="AdvFunMatSecond-orderHeading">
    <w:name w:val="Adv. Fun. Mat. Second-order Heading"/>
    <w:basedOn w:val="Normal"/>
    <w:next w:val="Normal"/>
    <w:link w:val="AdvFunMatSecond-orderHeadingChar"/>
    <w:qFormat/>
    <w:rsid w:val="00305B27"/>
    <w:pPr>
      <w:spacing w:line="360" w:lineRule="auto"/>
    </w:pPr>
    <w:rPr>
      <w:rFonts w:asciiTheme="minorHAnsi" w:eastAsiaTheme="minorHAnsi" w:hAnsiTheme="minorHAnsi" w:cstheme="minorBidi"/>
      <w:b/>
      <w:sz w:val="24"/>
      <w:lang w:val="en-US" w:eastAsia="ja-JP"/>
    </w:rPr>
  </w:style>
  <w:style w:type="character" w:customStyle="1" w:styleId="AdvFunMatSecond-orderHeadingChar">
    <w:name w:val="Adv. Fun. Mat. Second-order Heading Char"/>
    <w:basedOn w:val="AdvFunMatfirstorderheadingChar"/>
    <w:link w:val="AdvFunMatSecond-orderHeading"/>
    <w:rsid w:val="00305B27"/>
    <w:rPr>
      <w:b/>
      <w:sz w:val="24"/>
      <w:szCs w:val="24"/>
      <w:lang w:val="en-US" w:eastAsia="ja-JP"/>
    </w:rPr>
  </w:style>
  <w:style w:type="paragraph" w:customStyle="1" w:styleId="AdvFunMatThird-orderHeading">
    <w:name w:val="Adv. Fun. Mat. Third-order Heading"/>
    <w:basedOn w:val="Heading3"/>
    <w:next w:val="Normal"/>
    <w:link w:val="AdvFunMatThird-orderHeadingChar"/>
    <w:qFormat/>
    <w:rsid w:val="00305B27"/>
    <w:pPr>
      <w:keepLines w:val="0"/>
      <w:spacing w:before="240" w:after="60" w:line="240" w:lineRule="auto"/>
    </w:pPr>
    <w:rPr>
      <w:b/>
      <w:bCs/>
      <w:color w:val="auto"/>
      <w:kern w:val="32"/>
      <w:sz w:val="26"/>
      <w:szCs w:val="26"/>
      <w:lang w:val="en-US" w:eastAsia="ja-JP"/>
    </w:rPr>
  </w:style>
  <w:style w:type="character" w:customStyle="1" w:styleId="AdvFunMatThird-orderHeadingChar">
    <w:name w:val="Adv. Fun. Mat. Third-order Heading Char"/>
    <w:basedOn w:val="AdvFunMatSecond-orderHeadingChar"/>
    <w:link w:val="AdvFunMatThird-orderHeading"/>
    <w:rsid w:val="00305B27"/>
    <w:rPr>
      <w:rFonts w:asciiTheme="majorHAnsi" w:eastAsiaTheme="majorEastAsia" w:hAnsiTheme="majorHAnsi" w:cstheme="majorBidi"/>
      <w:b/>
      <w:bCs/>
      <w:kern w:val="32"/>
      <w:sz w:val="26"/>
      <w:szCs w:val="26"/>
      <w:lang w:val="en-US" w:eastAsia="ja-JP"/>
    </w:rPr>
  </w:style>
  <w:style w:type="character" w:customStyle="1" w:styleId="Heading3Char">
    <w:name w:val="Heading 3 Char"/>
    <w:basedOn w:val="DefaultParagraphFont"/>
    <w:link w:val="Heading3"/>
    <w:uiPriority w:val="9"/>
    <w:semiHidden/>
    <w:rsid w:val="00305B27"/>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unhideWhenUsed/>
    <w:rsid w:val="008531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hyperlink" Target="mailto:farid.sadabad@kit.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349</Words>
  <Characters>2203</Characters>
  <Application>Microsoft Office Word</Application>
  <DocSecurity>0</DocSecurity>
  <Lines>18</Lines>
  <Paragraphs>5</Paragraphs>
  <ScaleCrop>false</ScaleCrop>
  <Company/>
  <LinksUpToDate>false</LinksUpToDate>
  <CharactersWithSpaces>2547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Behboodi Sadabad, Farid (ITG)</dc:creator>
  <cp:keywords/>
  <dc:description/>
  <cp:lastModifiedBy>Behboodi Sadabad, Farid (ITG)</cp:lastModifiedBy>
  <cp:revision>1</cp:revision>
  <dcterms:created xsi:type="dcterms:W3CDTF">2017-01-13T08:42:00Z</dcterms:created>
  <dcterms:modified xsi:type="dcterms:W3CDTF">2017-01-13T08:45:00Z</dcterms:modified>
</cp:coreProperties>
</file>