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066" w:rsidRPr="00320E1B" w:rsidRDefault="00320E1B" w:rsidP="00320E1B">
      <w:pPr>
        <w:rPr>
          <w:rFonts w:asciiTheme="majorHAnsi" w:hAnsiTheme="majorHAnsi" w:cs="Times New Roman"/>
          <w:b/>
          <w:color w:val="4F81BD" w:themeColor="accent1"/>
          <w:sz w:val="36"/>
          <w:szCs w:val="36"/>
        </w:rPr>
      </w:pPr>
      <w:r w:rsidRPr="00320E1B">
        <w:rPr>
          <w:rFonts w:asciiTheme="majorHAnsi" w:hAnsiTheme="majorHAnsi" w:cs="Times New Roman"/>
          <w:b/>
          <w:color w:val="4F81BD" w:themeColor="accent1"/>
          <w:sz w:val="36"/>
          <w:szCs w:val="36"/>
        </w:rPr>
        <w:t xml:space="preserve">Functionalized Graphene Oxide </w:t>
      </w:r>
      <w:r w:rsidR="0091188D">
        <w:rPr>
          <w:rFonts w:asciiTheme="majorHAnsi" w:hAnsiTheme="majorHAnsi" w:cs="Times New Roman"/>
          <w:b/>
          <w:color w:val="4F81BD" w:themeColor="accent1"/>
          <w:sz w:val="36"/>
          <w:szCs w:val="36"/>
        </w:rPr>
        <w:t xml:space="preserve">for significantly enhanced </w:t>
      </w:r>
      <w:r w:rsidRPr="00320E1B">
        <w:rPr>
          <w:rFonts w:asciiTheme="majorHAnsi" w:hAnsiTheme="majorHAnsi" w:cs="Times New Roman"/>
          <w:b/>
          <w:color w:val="4F81BD" w:themeColor="accent1"/>
          <w:sz w:val="36"/>
          <w:szCs w:val="36"/>
        </w:rPr>
        <w:t>antibacterial activity of cephalexin</w:t>
      </w:r>
    </w:p>
    <w:p w:rsidR="00814066" w:rsidRPr="00814066" w:rsidRDefault="00814066" w:rsidP="00814066">
      <w:pPr>
        <w:jc w:val="both"/>
        <w:rPr>
          <w:rFonts w:ascii="Arial" w:hAnsi="Arial" w:cs="Arial"/>
          <w:sz w:val="18"/>
          <w:szCs w:val="18"/>
          <w:vertAlign w:val="superscript"/>
        </w:rPr>
      </w:pPr>
      <w:r w:rsidRPr="00814066">
        <w:rPr>
          <w:rFonts w:ascii="Arial" w:hAnsi="Arial" w:cs="Arial"/>
          <w:sz w:val="18"/>
          <w:szCs w:val="18"/>
        </w:rPr>
        <w:t>Nuwanthi P. Katuwavila</w:t>
      </w:r>
      <w:r w:rsidRPr="00814066">
        <w:rPr>
          <w:rFonts w:ascii="Arial" w:hAnsi="Arial" w:cs="Arial"/>
          <w:sz w:val="18"/>
          <w:szCs w:val="18"/>
          <w:vertAlign w:val="superscript"/>
        </w:rPr>
        <w:t>1</w:t>
      </w:r>
      <w:r w:rsidRPr="00814066">
        <w:rPr>
          <w:rFonts w:ascii="Arial" w:hAnsi="Arial" w:cs="Arial"/>
          <w:sz w:val="18"/>
          <w:szCs w:val="18"/>
        </w:rPr>
        <w:t>, Yasuri Amarasekara</w:t>
      </w:r>
      <w:r w:rsidRPr="00814066">
        <w:rPr>
          <w:rFonts w:ascii="Arial" w:hAnsi="Arial" w:cs="Arial"/>
          <w:sz w:val="18"/>
          <w:szCs w:val="18"/>
          <w:vertAlign w:val="superscript"/>
        </w:rPr>
        <w:t>1</w:t>
      </w:r>
      <w:r w:rsidRPr="00814066">
        <w:rPr>
          <w:rFonts w:ascii="Arial" w:hAnsi="Arial" w:cs="Arial"/>
          <w:sz w:val="18"/>
          <w:szCs w:val="18"/>
        </w:rPr>
        <w:t>, Vimukthi Jayaweera</w:t>
      </w:r>
      <w:r w:rsidRPr="00814066">
        <w:rPr>
          <w:rFonts w:ascii="Arial" w:hAnsi="Arial" w:cs="Arial"/>
          <w:sz w:val="18"/>
          <w:szCs w:val="18"/>
          <w:vertAlign w:val="superscript"/>
        </w:rPr>
        <w:t>1</w:t>
      </w:r>
      <w:r w:rsidRPr="00814066">
        <w:rPr>
          <w:rFonts w:ascii="Arial" w:hAnsi="Arial" w:cs="Arial"/>
          <w:sz w:val="18"/>
          <w:szCs w:val="18"/>
        </w:rPr>
        <w:t>, Inoka C. Perera</w:t>
      </w:r>
      <w:r w:rsidRPr="00814066">
        <w:rPr>
          <w:rFonts w:ascii="Arial" w:hAnsi="Arial" w:cs="Arial"/>
          <w:sz w:val="18"/>
          <w:szCs w:val="18"/>
          <w:vertAlign w:val="superscript"/>
        </w:rPr>
        <w:t>2</w:t>
      </w:r>
      <w:r w:rsidRPr="00814066">
        <w:rPr>
          <w:rFonts w:ascii="Arial" w:hAnsi="Arial" w:cs="Arial"/>
          <w:sz w:val="18"/>
          <w:szCs w:val="18"/>
        </w:rPr>
        <w:t>, Laksiri Weerasinghe</w:t>
      </w:r>
      <w:r w:rsidR="00E145EA">
        <w:rPr>
          <w:rFonts w:ascii="Arial" w:hAnsi="Arial" w:cs="Arial"/>
          <w:sz w:val="18"/>
          <w:szCs w:val="18"/>
        </w:rPr>
        <w:t>*</w:t>
      </w:r>
      <w:r w:rsidRPr="00814066">
        <w:rPr>
          <w:rFonts w:ascii="Arial" w:hAnsi="Arial" w:cs="Arial"/>
          <w:sz w:val="18"/>
          <w:szCs w:val="18"/>
          <w:vertAlign w:val="superscript"/>
        </w:rPr>
        <w:t>1</w:t>
      </w:r>
    </w:p>
    <w:p w:rsidR="00814066" w:rsidRPr="00814066" w:rsidRDefault="00F97B66" w:rsidP="00814066">
      <w:pPr>
        <w:jc w:val="both"/>
        <w:rPr>
          <w:rFonts w:ascii="Arial" w:hAnsi="Arial" w:cs="Arial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402DC2" wp14:editId="322853A1">
                <wp:simplePos x="0" y="0"/>
                <wp:positionH relativeFrom="column">
                  <wp:posOffset>5288378</wp:posOffset>
                </wp:positionH>
                <wp:positionV relativeFrom="paragraph">
                  <wp:posOffset>987170</wp:posOffset>
                </wp:positionV>
                <wp:extent cx="1397764" cy="1001763"/>
                <wp:effectExtent l="0" t="0" r="12065" b="2730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7764" cy="10017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188D" w:rsidRDefault="0091188D"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color w:val="4F81BD" w:themeColor="accent1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43A4E07F" wp14:editId="27453936">
                                  <wp:extent cx="1228907" cy="956188"/>
                                  <wp:effectExtent l="0" t="0" r="0" b="0"/>
                                  <wp:docPr id="7" name="Picture 7" descr="C:\Users\User\Desktop\GO.t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User\Desktop\GO.t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6769" cy="954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402DC2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416.4pt;margin-top:77.75pt;width:110.05pt;height:78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" fillcolor="white [3201]" strokeweight=".5pt">
                <v:textbox>
                  <w:txbxContent>
                    <w:p w:rsidR="0091188D" w:rsidRDefault="0091188D">
                      <w:r>
                        <w:rPr>
                          <w:rFonts w:ascii="Arial" w:hAnsi="Arial" w:cs="Arial"/>
                          <w:b/>
                          <w:noProof/>
                          <w:color w:val="4F81BD" w:themeColor="accent1"/>
                          <w:sz w:val="18"/>
                          <w:szCs w:val="18"/>
                        </w:rPr>
                        <w:drawing>
                          <wp:inline distT="0" distB="0" distL="0" distR="0" wp14:anchorId="43A4E07F" wp14:editId="27453936">
                            <wp:extent cx="1228907" cy="956188"/>
                            <wp:effectExtent l="0" t="0" r="0" b="0"/>
                            <wp:docPr id="7" name="Picture 7" descr="C:\Users\User\Desktop\GO.t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User\Desktop\GO.t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26769" cy="954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14066" w:rsidRPr="00814066">
        <w:rPr>
          <w:rFonts w:ascii="Arial" w:hAnsi="Arial" w:cs="Arial"/>
          <w:sz w:val="18"/>
          <w:szCs w:val="18"/>
          <w:vertAlign w:val="superscript"/>
        </w:rPr>
        <w:t>1</w:t>
      </w:r>
      <w:r w:rsidR="00814066" w:rsidRPr="00814066">
        <w:rPr>
          <w:rFonts w:ascii="Arial" w:hAnsi="Arial" w:cs="Arial"/>
          <w:sz w:val="18"/>
          <w:szCs w:val="18"/>
        </w:rPr>
        <w:t xml:space="preserve">Sri Lanka Institute of Nanotechnology, Nanotechnology and Science Park, </w:t>
      </w:r>
      <w:proofErr w:type="spellStart"/>
      <w:r w:rsidR="00814066" w:rsidRPr="00814066">
        <w:rPr>
          <w:rFonts w:ascii="Arial" w:hAnsi="Arial" w:cs="Arial"/>
          <w:sz w:val="18"/>
          <w:szCs w:val="18"/>
        </w:rPr>
        <w:t>Mahenwatta</w:t>
      </w:r>
      <w:proofErr w:type="spellEnd"/>
      <w:r w:rsidR="00814066" w:rsidRPr="00814066">
        <w:rPr>
          <w:rFonts w:ascii="Arial" w:hAnsi="Arial" w:cs="Arial"/>
          <w:sz w:val="18"/>
          <w:szCs w:val="18"/>
        </w:rPr>
        <w:t xml:space="preserve">, </w:t>
      </w:r>
      <w:proofErr w:type="spellStart"/>
      <w:r w:rsidR="00814066" w:rsidRPr="00814066">
        <w:rPr>
          <w:rFonts w:ascii="Arial" w:hAnsi="Arial" w:cs="Arial"/>
          <w:sz w:val="18"/>
          <w:szCs w:val="18"/>
        </w:rPr>
        <w:t>Pitipana</w:t>
      </w:r>
      <w:proofErr w:type="spellEnd"/>
      <w:r w:rsidR="00814066" w:rsidRPr="00814066">
        <w:rPr>
          <w:rFonts w:ascii="Arial" w:hAnsi="Arial" w:cs="Arial"/>
          <w:sz w:val="18"/>
          <w:szCs w:val="18"/>
        </w:rPr>
        <w:t xml:space="preserve">, </w:t>
      </w:r>
      <w:proofErr w:type="spellStart"/>
      <w:r w:rsidR="00814066" w:rsidRPr="00814066">
        <w:rPr>
          <w:rFonts w:ascii="Arial" w:hAnsi="Arial" w:cs="Arial"/>
          <w:sz w:val="18"/>
          <w:szCs w:val="18"/>
        </w:rPr>
        <w:t>Homagama</w:t>
      </w:r>
      <w:proofErr w:type="spellEnd"/>
      <w:r w:rsidR="00814066" w:rsidRPr="00814066">
        <w:rPr>
          <w:rFonts w:ascii="Arial" w:hAnsi="Arial" w:cs="Arial"/>
          <w:sz w:val="18"/>
          <w:szCs w:val="18"/>
        </w:rPr>
        <w:t>.</w:t>
      </w:r>
    </w:p>
    <w:p w:rsidR="00814066" w:rsidRDefault="00814066" w:rsidP="00814066">
      <w:pPr>
        <w:jc w:val="both"/>
        <w:rPr>
          <w:rFonts w:ascii="Arial" w:hAnsi="Arial" w:cs="Arial"/>
          <w:sz w:val="18"/>
          <w:szCs w:val="18"/>
        </w:rPr>
      </w:pPr>
      <w:r w:rsidRPr="00814066">
        <w:rPr>
          <w:rFonts w:ascii="Arial" w:hAnsi="Arial" w:cs="Arial"/>
          <w:sz w:val="18"/>
          <w:szCs w:val="18"/>
          <w:vertAlign w:val="superscript"/>
        </w:rPr>
        <w:t>2</w:t>
      </w:r>
      <w:r w:rsidRPr="00814066">
        <w:rPr>
          <w:rFonts w:ascii="Arial" w:hAnsi="Arial" w:cs="Arial"/>
          <w:sz w:val="18"/>
          <w:szCs w:val="18"/>
        </w:rPr>
        <w:t>Department of Zoology, Faculty of Science, University of Colombo, Colombo 03.</w:t>
      </w:r>
    </w:p>
    <w:p w:rsidR="00814066" w:rsidRPr="00814066" w:rsidRDefault="00814066" w:rsidP="00814066">
      <w:pPr>
        <w:jc w:val="both"/>
        <w:rPr>
          <w:rFonts w:ascii="Arial" w:hAnsi="Arial" w:cs="Arial"/>
          <w:color w:val="984806" w:themeColor="accent6" w:themeShade="80"/>
          <w:sz w:val="20"/>
          <w:szCs w:val="20"/>
        </w:rPr>
      </w:pPr>
      <w:r w:rsidRPr="00814066">
        <w:rPr>
          <w:rFonts w:ascii="Arial" w:hAnsi="Arial" w:cs="Arial"/>
          <w:b/>
          <w:noProof/>
          <w:color w:val="984806" w:themeColor="accent6" w:themeShade="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E0F6ED" wp14:editId="546DD842">
                <wp:simplePos x="0" y="0"/>
                <wp:positionH relativeFrom="column">
                  <wp:posOffset>19050</wp:posOffset>
                </wp:positionH>
                <wp:positionV relativeFrom="paragraph">
                  <wp:posOffset>234950</wp:posOffset>
                </wp:positionV>
                <wp:extent cx="3600450" cy="468630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450" cy="468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1188D" w:rsidRPr="00814066" w:rsidRDefault="0091188D" w:rsidP="00814066">
                            <w:pPr>
                              <w:jc w:val="both"/>
                              <w:rPr>
                                <w:rFonts w:ascii="Tw Cen MT" w:hAnsi="Tw Cen MT"/>
                                <w:i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2A0EA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14066">
                              <w:rPr>
                                <w:rFonts w:ascii="Tw Cen MT" w:hAnsi="Tw Cen MT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Cephalexin, an antibiotic in cephalosporin family is used to treat respiratory tract, middle ear, skin and urinary tract infections. It has a relatively low solubility in water and </w:t>
                            </w:r>
                            <w:r w:rsidR="00CE35BF">
                              <w:rPr>
                                <w:rFonts w:ascii="Tw Cen MT" w:hAnsi="Tw Cen MT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significant </w:t>
                            </w:r>
                            <w:r w:rsidR="00E63780">
                              <w:rPr>
                                <w:rFonts w:ascii="Tw Cen MT" w:hAnsi="Tw Cen MT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instability</w:t>
                            </w:r>
                            <w:r w:rsidRPr="00814066">
                              <w:rPr>
                                <w:rFonts w:ascii="Tw Cen MT" w:hAnsi="Tw Cen MT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at physiological </w:t>
                            </w:r>
                            <w:proofErr w:type="spellStart"/>
                            <w:r w:rsidRPr="00814066">
                              <w:rPr>
                                <w:rFonts w:ascii="Tw Cen MT" w:hAnsi="Tw Cen MT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pH.</w:t>
                            </w:r>
                            <w:proofErr w:type="spellEnd"/>
                            <w:r w:rsidRPr="00814066">
                              <w:rPr>
                                <w:rFonts w:ascii="Tw Cen MT" w:hAnsi="Tw Cen MT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E35BF">
                              <w:rPr>
                                <w:rFonts w:ascii="Tw Cen MT" w:hAnsi="Tw Cen MT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T</w:t>
                            </w:r>
                            <w:r w:rsidRPr="00814066">
                              <w:rPr>
                                <w:rFonts w:ascii="Tw Cen MT" w:hAnsi="Tw Cen MT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he bioavailability of oral cephalexin tablets decreases due to antimic</w:t>
                            </w:r>
                            <w:r w:rsidR="00CE35BF">
                              <w:rPr>
                                <w:rFonts w:ascii="Tw Cen MT" w:hAnsi="Tw Cen MT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robial resistance therefore </w:t>
                            </w:r>
                            <w:r w:rsidRPr="00814066">
                              <w:rPr>
                                <w:rFonts w:ascii="Tw Cen MT" w:hAnsi="Tw Cen MT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to maintain its therapeutic level drug administration has to be repeated 3-4 times per day </w:t>
                            </w:r>
                            <w:r w:rsidR="00E145EA">
                              <w:rPr>
                                <w:rFonts w:ascii="Tw Cen MT" w:hAnsi="Tw Cen MT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in order to obtain the</w:t>
                            </w:r>
                            <w:r w:rsidRPr="00814066">
                              <w:rPr>
                                <w:rFonts w:ascii="Tw Cen MT" w:hAnsi="Tw Cen MT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effective therapy. The purpose of this study is to develop a controlled release system for cephalexin</w:t>
                            </w:r>
                            <w:r w:rsidR="00E145EA">
                              <w:rPr>
                                <w:rFonts w:ascii="Tw Cen MT" w:hAnsi="Tw Cen MT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using functionalized Graphene O</w:t>
                            </w:r>
                            <w:r w:rsidRPr="00814066">
                              <w:rPr>
                                <w:rFonts w:ascii="Tw Cen MT" w:hAnsi="Tw Cen MT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xide to enhance the drug bioavailability with lower doses. Methodology and theoretical orientation: GO made by a modified Hummer’s method starting from Sri Lankan vain graphite, was functionalized with a branched polyethylene glycol (PEG) to improve the solubility of GO in various physiological solutions. Loading of cephalexin onto </w:t>
                            </w:r>
                            <w:proofErr w:type="spellStart"/>
                            <w:r w:rsidRPr="00814066">
                              <w:rPr>
                                <w:rFonts w:ascii="Tw Cen MT" w:hAnsi="Tw Cen MT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Pegylated</w:t>
                            </w:r>
                            <w:proofErr w:type="spellEnd"/>
                            <w:r w:rsidRPr="00814066">
                              <w:rPr>
                                <w:rFonts w:ascii="Tw Cen MT" w:hAnsi="Tw Cen MT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GO (GO-PEG) was carried out by stirring overnight with different amounts of cephalexin (0.02 mg to 0.2 mg) with GO-PEG at a GO concentration of (0.2 mg/ml) in deionized water. The </w:t>
                            </w:r>
                            <w:proofErr w:type="spellStart"/>
                            <w:r w:rsidRPr="00814066">
                              <w:rPr>
                                <w:rFonts w:ascii="Tw Cen MT" w:hAnsi="Tw Cen MT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pegylation</w:t>
                            </w:r>
                            <w:proofErr w:type="spellEnd"/>
                            <w:r w:rsidRPr="00814066">
                              <w:rPr>
                                <w:rFonts w:ascii="Tw Cen MT" w:hAnsi="Tw Cen MT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and loading of cephalexin into GO-PEG were characterized using FTIR spectroscopy, Raman spectroscopy, UV-Visible spectroscopy, thermogravimetric analysis. The release characteristic of cephalexin from PEG-GO composite was monitored in pH 7.4 buffer at 37</w:t>
                            </w:r>
                            <w:r w:rsidRPr="00814066">
                              <w:rPr>
                                <w:rFonts w:ascii="Tw Cen MT" w:hAnsi="Tw Cen MT" w:cs="Times New Roman"/>
                                <w:color w:val="000000" w:themeColor="text1"/>
                                <w:sz w:val="18"/>
                                <w:szCs w:val="18"/>
                                <w:vertAlign w:val="superscript"/>
                              </w:rPr>
                              <w:t>o</w:t>
                            </w:r>
                            <w:r w:rsidRPr="00814066">
                              <w:rPr>
                                <w:rFonts w:ascii="Tw Cen MT" w:hAnsi="Tw Cen MT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C for 4 days. The antibacterial activity of GO-PEG and cephalexin loaded GO-PEG was examined by determining % inhibition of 4 bacterial strains; two Gram negative (</w:t>
                            </w:r>
                            <w:r w:rsidRPr="00814066">
                              <w:rPr>
                                <w:rFonts w:ascii="Tw Cen MT" w:hAnsi="Tw Cen MT" w:cs="Times New Roman"/>
                                <w:i/>
                                <w:color w:val="000000" w:themeColor="text1"/>
                                <w:sz w:val="18"/>
                                <w:szCs w:val="18"/>
                              </w:rPr>
                              <w:t>Escherichia coli, Pseudomonas aeruginosa</w:t>
                            </w:r>
                            <w:r w:rsidRPr="00814066">
                              <w:rPr>
                                <w:rFonts w:ascii="Tw Cen MT" w:hAnsi="Tw Cen MT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) and two Gram positive </w:t>
                            </w:r>
                            <w:r w:rsidRPr="00814066">
                              <w:rPr>
                                <w:rFonts w:ascii="Tw Cen MT" w:hAnsi="Tw Cen MT" w:cs="Times New Roman"/>
                                <w:i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(Bacillus cereus, </w:t>
                            </w:r>
                            <w:r w:rsidRPr="00814066">
                              <w:rPr>
                                <w:rFonts w:ascii="Tw Cen MT" w:hAnsi="Tw Cen MT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Staphylococcus aureus)</w:t>
                            </w:r>
                            <w:r w:rsidRPr="00814066">
                              <w:rPr>
                                <w:rFonts w:ascii="Tw Cen MT" w:hAnsi="Tw Cen MT"/>
                                <w:i/>
                                <w:color w:val="000000" w:themeColor="text1"/>
                                <w:sz w:val="18"/>
                                <w:szCs w:val="18"/>
                              </w:rPr>
                              <w:t>.</w:t>
                            </w:r>
                            <w:r w:rsidRPr="00814066">
                              <w:rPr>
                                <w:rFonts w:ascii="Tw Cen MT" w:hAnsi="Tw Cen MT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Findings: The initial burst release followed by sustained release </w:t>
                            </w:r>
                            <w:r w:rsidR="00E145EA" w:rsidRPr="00814066">
                              <w:rPr>
                                <w:rFonts w:ascii="Tw Cen MT" w:hAnsi="Tw Cen MT"/>
                                <w:color w:val="000000" w:themeColor="text1"/>
                                <w:sz w:val="18"/>
                                <w:szCs w:val="18"/>
                              </w:rPr>
                              <w:t>up to</w:t>
                            </w:r>
                            <w:r w:rsidRPr="00814066">
                              <w:rPr>
                                <w:rFonts w:ascii="Tw Cen MT" w:hAnsi="Tw Cen MT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96 h proved the controlled release of the drug. After 24 h, both GO and GO-PEG-cephalexin had an inhibitory action on each selected bacterial strains at very low concentrations when compared to free cephalexin. Conclusion and significance: GO can </w:t>
                            </w:r>
                            <w:r>
                              <w:rPr>
                                <w:rFonts w:ascii="Tw Cen MT" w:hAnsi="Tw Cen MT"/>
                                <w:color w:val="000000" w:themeColor="text1"/>
                                <w:sz w:val="18"/>
                                <w:szCs w:val="18"/>
                              </w:rPr>
                              <w:t>significantly increase</w:t>
                            </w:r>
                            <w:r w:rsidRPr="00814066">
                              <w:rPr>
                                <w:rFonts w:ascii="Tw Cen MT" w:hAnsi="Tw Cen MT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the antibacterial activity of cephalexin</w:t>
                            </w:r>
                            <w:r>
                              <w:rPr>
                                <w:rFonts w:ascii="Tw Cen MT" w:hAnsi="Tw Cen MT"/>
                                <w:color w:val="000000" w:themeColor="text1"/>
                                <w:sz w:val="18"/>
                                <w:szCs w:val="18"/>
                              </w:rPr>
                              <w:t>.</w:t>
                            </w:r>
                            <w:r w:rsidRPr="00814066">
                              <w:rPr>
                                <w:rFonts w:ascii="Tw Cen MT" w:hAnsi="Tw Cen MT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w Cen MT" w:hAnsi="Tw Cen MT"/>
                                <w:color w:val="000000" w:themeColor="text1"/>
                                <w:sz w:val="18"/>
                                <w:szCs w:val="18"/>
                              </w:rPr>
                              <w:t>L</w:t>
                            </w:r>
                            <w:r w:rsidRPr="00814066">
                              <w:rPr>
                                <w:rFonts w:ascii="Tw Cen MT" w:hAnsi="Tw Cen MT"/>
                                <w:color w:val="000000" w:themeColor="text1"/>
                                <w:sz w:val="18"/>
                                <w:szCs w:val="18"/>
                              </w:rPr>
                              <w:t>ower MIC value can be obtained with cephalexin</w:t>
                            </w:r>
                            <w:r w:rsidR="00034D59">
                              <w:rPr>
                                <w:rFonts w:ascii="Tw Cen MT" w:hAnsi="Tw Cen MT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loaded composite</w:t>
                            </w:r>
                            <w:r w:rsidRPr="00814066">
                              <w:rPr>
                                <w:rFonts w:ascii="Tw Cen MT" w:hAnsi="Tw Cen MT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34D59">
                              <w:rPr>
                                <w:rFonts w:ascii="Tw Cen MT" w:hAnsi="Tw Cen MT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with respect </w:t>
                            </w:r>
                            <w:r w:rsidRPr="00814066">
                              <w:rPr>
                                <w:rFonts w:ascii="Tw Cen MT" w:hAnsi="Tw Cen MT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to free cephalexin. </w:t>
                            </w:r>
                          </w:p>
                          <w:p w:rsidR="0091188D" w:rsidRPr="002A0EA1" w:rsidRDefault="0091188D" w:rsidP="00814066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     </w:t>
                            </w:r>
                          </w:p>
                          <w:p w:rsidR="0091188D" w:rsidRPr="002A0EA1" w:rsidRDefault="0091188D" w:rsidP="0081406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91188D" w:rsidRDefault="0091188D" w:rsidP="0081406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E0F6ED" id="Rectangle 1" o:spid="_x0000_s1027" style="position:absolute;left:0;text-align:left;margin-left:1.5pt;margin-top:18.5pt;width:283.5pt;height:36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" filled="f" stroked="f" strokeweight="2pt">
                <v:textbox>
                  <w:txbxContent>
                    <w:p w:rsidR="0091188D" w:rsidRPr="00814066" w:rsidRDefault="0091188D" w:rsidP="00814066">
                      <w:pPr>
                        <w:jc w:val="both"/>
                        <w:rPr>
                          <w:rFonts w:ascii="Tw Cen MT" w:hAnsi="Tw Cen MT"/>
                          <w:i/>
                          <w:color w:val="000000" w:themeColor="text1"/>
                          <w:sz w:val="18"/>
                          <w:szCs w:val="18"/>
                        </w:rPr>
                      </w:pPr>
                      <w:r w:rsidRPr="002A0EA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814066">
                        <w:rPr>
                          <w:rFonts w:ascii="Tw Cen MT" w:hAnsi="Tw Cen MT" w:cs="Times New Roman"/>
                          <w:color w:val="000000" w:themeColor="text1"/>
                          <w:sz w:val="18"/>
                          <w:szCs w:val="18"/>
                        </w:rPr>
                        <w:t xml:space="preserve">Cephalexin, an antibiotic in cephalosporin family is used to treat respiratory tract, middle ear, skin and urinary tract infections. It has a relatively low solubility in water and </w:t>
                      </w:r>
                      <w:r w:rsidR="00CE35BF">
                        <w:rPr>
                          <w:rFonts w:ascii="Tw Cen MT" w:hAnsi="Tw Cen MT" w:cs="Times New Roman"/>
                          <w:color w:val="000000" w:themeColor="text1"/>
                          <w:sz w:val="18"/>
                          <w:szCs w:val="18"/>
                        </w:rPr>
                        <w:t xml:space="preserve">significant </w:t>
                      </w:r>
                      <w:r w:rsidR="00E63780">
                        <w:rPr>
                          <w:rFonts w:ascii="Tw Cen MT" w:hAnsi="Tw Cen MT" w:cs="Times New Roman"/>
                          <w:color w:val="000000" w:themeColor="text1"/>
                          <w:sz w:val="18"/>
                          <w:szCs w:val="18"/>
                        </w:rPr>
                        <w:t>instability</w:t>
                      </w:r>
                      <w:r w:rsidRPr="00814066">
                        <w:rPr>
                          <w:rFonts w:ascii="Tw Cen MT" w:hAnsi="Tw Cen MT" w:cs="Times New Roman"/>
                          <w:color w:val="000000" w:themeColor="text1"/>
                          <w:sz w:val="18"/>
                          <w:szCs w:val="18"/>
                        </w:rPr>
                        <w:t xml:space="preserve"> at physiological </w:t>
                      </w:r>
                      <w:proofErr w:type="spellStart"/>
                      <w:r w:rsidRPr="00814066">
                        <w:rPr>
                          <w:rFonts w:ascii="Tw Cen MT" w:hAnsi="Tw Cen MT" w:cs="Times New Roman"/>
                          <w:color w:val="000000" w:themeColor="text1"/>
                          <w:sz w:val="18"/>
                          <w:szCs w:val="18"/>
                        </w:rPr>
                        <w:t>pH.</w:t>
                      </w:r>
                      <w:proofErr w:type="spellEnd"/>
                      <w:r w:rsidRPr="00814066">
                        <w:rPr>
                          <w:rFonts w:ascii="Tw Cen MT" w:hAnsi="Tw Cen MT" w:cs="Times New Roman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="00CE35BF">
                        <w:rPr>
                          <w:rFonts w:ascii="Tw Cen MT" w:hAnsi="Tw Cen MT" w:cs="Times New Roman"/>
                          <w:color w:val="000000" w:themeColor="text1"/>
                          <w:sz w:val="18"/>
                          <w:szCs w:val="18"/>
                        </w:rPr>
                        <w:t>T</w:t>
                      </w:r>
                      <w:r w:rsidRPr="00814066">
                        <w:rPr>
                          <w:rFonts w:ascii="Tw Cen MT" w:hAnsi="Tw Cen MT" w:cs="Times New Roman"/>
                          <w:color w:val="000000" w:themeColor="text1"/>
                          <w:sz w:val="18"/>
                          <w:szCs w:val="18"/>
                        </w:rPr>
                        <w:t>he bioavailability of oral cephalexin tablets decreases due to antimic</w:t>
                      </w:r>
                      <w:r w:rsidR="00CE35BF">
                        <w:rPr>
                          <w:rFonts w:ascii="Tw Cen MT" w:hAnsi="Tw Cen MT" w:cs="Times New Roman"/>
                          <w:color w:val="000000" w:themeColor="text1"/>
                          <w:sz w:val="18"/>
                          <w:szCs w:val="18"/>
                        </w:rPr>
                        <w:t xml:space="preserve">robial resistance therefore </w:t>
                      </w:r>
                      <w:r w:rsidRPr="00814066">
                        <w:rPr>
                          <w:rFonts w:ascii="Tw Cen MT" w:hAnsi="Tw Cen MT" w:cs="Times New Roman"/>
                          <w:color w:val="000000" w:themeColor="text1"/>
                          <w:sz w:val="18"/>
                          <w:szCs w:val="18"/>
                        </w:rPr>
                        <w:t xml:space="preserve">to maintain its therapeutic level drug administration has to be repeated 3-4 times per day </w:t>
                      </w:r>
                      <w:r w:rsidR="00E145EA">
                        <w:rPr>
                          <w:rFonts w:ascii="Tw Cen MT" w:hAnsi="Tw Cen MT" w:cs="Times New Roman"/>
                          <w:color w:val="000000" w:themeColor="text1"/>
                          <w:sz w:val="18"/>
                          <w:szCs w:val="18"/>
                        </w:rPr>
                        <w:t>in order to obtain the</w:t>
                      </w:r>
                      <w:r w:rsidRPr="00814066">
                        <w:rPr>
                          <w:rFonts w:ascii="Tw Cen MT" w:hAnsi="Tw Cen MT" w:cs="Times New Roman"/>
                          <w:color w:val="000000" w:themeColor="text1"/>
                          <w:sz w:val="18"/>
                          <w:szCs w:val="18"/>
                        </w:rPr>
                        <w:t xml:space="preserve"> effective therapy. The purpose of this study is to develop a controlled release system for cephalexin</w:t>
                      </w:r>
                      <w:r w:rsidR="00E145EA">
                        <w:rPr>
                          <w:rFonts w:ascii="Tw Cen MT" w:hAnsi="Tw Cen MT" w:cs="Times New Roman"/>
                          <w:color w:val="000000" w:themeColor="text1"/>
                          <w:sz w:val="18"/>
                          <w:szCs w:val="18"/>
                        </w:rPr>
                        <w:t xml:space="preserve"> using functionalized Graphene O</w:t>
                      </w:r>
                      <w:r w:rsidRPr="00814066">
                        <w:rPr>
                          <w:rFonts w:ascii="Tw Cen MT" w:hAnsi="Tw Cen MT" w:cs="Times New Roman"/>
                          <w:color w:val="000000" w:themeColor="text1"/>
                          <w:sz w:val="18"/>
                          <w:szCs w:val="18"/>
                        </w:rPr>
                        <w:t xml:space="preserve">xide to enhance the drug bioavailability with lower doses. Methodology and theoretical orientation: GO made by a modified Hummer’s method starting from Sri Lankan vain graphite, was functionalized with a branched polyethylene glycol (PEG) to improve the solubility of GO in various physiological solutions. Loading of cephalexin onto </w:t>
                      </w:r>
                      <w:proofErr w:type="spellStart"/>
                      <w:r w:rsidRPr="00814066">
                        <w:rPr>
                          <w:rFonts w:ascii="Tw Cen MT" w:hAnsi="Tw Cen MT" w:cs="Times New Roman"/>
                          <w:color w:val="000000" w:themeColor="text1"/>
                          <w:sz w:val="18"/>
                          <w:szCs w:val="18"/>
                        </w:rPr>
                        <w:t>Pegylated</w:t>
                      </w:r>
                      <w:proofErr w:type="spellEnd"/>
                      <w:r w:rsidRPr="00814066">
                        <w:rPr>
                          <w:rFonts w:ascii="Tw Cen MT" w:hAnsi="Tw Cen MT" w:cs="Times New Roman"/>
                          <w:color w:val="000000" w:themeColor="text1"/>
                          <w:sz w:val="18"/>
                          <w:szCs w:val="18"/>
                        </w:rPr>
                        <w:t xml:space="preserve"> GO (GO-PEG) was carried out by stirring overnight with different amounts of cephalexin (0.02 mg to 0.2 mg) with GO-PEG at a GO concentration of (0.2 mg/ml) in deionized water. The </w:t>
                      </w:r>
                      <w:proofErr w:type="spellStart"/>
                      <w:r w:rsidRPr="00814066">
                        <w:rPr>
                          <w:rFonts w:ascii="Tw Cen MT" w:hAnsi="Tw Cen MT" w:cs="Times New Roman"/>
                          <w:color w:val="000000" w:themeColor="text1"/>
                          <w:sz w:val="18"/>
                          <w:szCs w:val="18"/>
                        </w:rPr>
                        <w:t>pegylation</w:t>
                      </w:r>
                      <w:proofErr w:type="spellEnd"/>
                      <w:r w:rsidRPr="00814066">
                        <w:rPr>
                          <w:rFonts w:ascii="Tw Cen MT" w:hAnsi="Tw Cen MT" w:cs="Times New Roman"/>
                          <w:color w:val="000000" w:themeColor="text1"/>
                          <w:sz w:val="18"/>
                          <w:szCs w:val="18"/>
                        </w:rPr>
                        <w:t xml:space="preserve"> and loading of cephalexin into GO-PEG were characterized using FTIR spectroscopy, Raman spectroscopy, UV-Visible spectroscopy, thermogravimetric analysis. The release characteristic of cephalexin from PEG-GO composite was monitored in pH 7.4 buffer at 37</w:t>
                      </w:r>
                      <w:r w:rsidRPr="00814066">
                        <w:rPr>
                          <w:rFonts w:ascii="Tw Cen MT" w:hAnsi="Tw Cen MT" w:cs="Times New Roman"/>
                          <w:color w:val="000000" w:themeColor="text1"/>
                          <w:sz w:val="18"/>
                          <w:szCs w:val="18"/>
                          <w:vertAlign w:val="superscript"/>
                        </w:rPr>
                        <w:t>o</w:t>
                      </w:r>
                      <w:r w:rsidRPr="00814066">
                        <w:rPr>
                          <w:rFonts w:ascii="Tw Cen MT" w:hAnsi="Tw Cen MT" w:cs="Times New Roman"/>
                          <w:color w:val="000000" w:themeColor="text1"/>
                          <w:sz w:val="18"/>
                          <w:szCs w:val="18"/>
                        </w:rPr>
                        <w:t>C for 4 days. The antibacterial activity of GO-PEG and cephalexin loaded GO-PEG was examined by determining % inhibition of 4 bacterial strains; two Gram negative (</w:t>
                      </w:r>
                      <w:r w:rsidRPr="00814066">
                        <w:rPr>
                          <w:rFonts w:ascii="Tw Cen MT" w:hAnsi="Tw Cen MT" w:cs="Times New Roman"/>
                          <w:i/>
                          <w:color w:val="000000" w:themeColor="text1"/>
                          <w:sz w:val="18"/>
                          <w:szCs w:val="18"/>
                        </w:rPr>
                        <w:t>Escherichia coli, Pseudomonas aeruginosa</w:t>
                      </w:r>
                      <w:r w:rsidRPr="00814066">
                        <w:rPr>
                          <w:rFonts w:ascii="Tw Cen MT" w:hAnsi="Tw Cen MT" w:cs="Times New Roman"/>
                          <w:color w:val="000000" w:themeColor="text1"/>
                          <w:sz w:val="18"/>
                          <w:szCs w:val="18"/>
                        </w:rPr>
                        <w:t xml:space="preserve">) and two Gram positive </w:t>
                      </w:r>
                      <w:r w:rsidRPr="00814066">
                        <w:rPr>
                          <w:rFonts w:ascii="Tw Cen MT" w:hAnsi="Tw Cen MT" w:cs="Times New Roman"/>
                          <w:i/>
                          <w:color w:val="000000" w:themeColor="text1"/>
                          <w:sz w:val="18"/>
                          <w:szCs w:val="18"/>
                        </w:rPr>
                        <w:t xml:space="preserve">(Bacillus cereus, </w:t>
                      </w:r>
                      <w:r w:rsidRPr="00814066">
                        <w:rPr>
                          <w:rFonts w:ascii="Tw Cen MT" w:hAnsi="Tw Cen MT"/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  <w:t>Staphylococcus aureus)</w:t>
                      </w:r>
                      <w:r w:rsidRPr="00814066">
                        <w:rPr>
                          <w:rFonts w:ascii="Tw Cen MT" w:hAnsi="Tw Cen MT"/>
                          <w:i/>
                          <w:color w:val="000000" w:themeColor="text1"/>
                          <w:sz w:val="18"/>
                          <w:szCs w:val="18"/>
                        </w:rPr>
                        <w:t>.</w:t>
                      </w:r>
                      <w:r w:rsidRPr="00814066">
                        <w:rPr>
                          <w:rFonts w:ascii="Tw Cen MT" w:hAnsi="Tw Cen MT"/>
                          <w:color w:val="000000" w:themeColor="text1"/>
                          <w:sz w:val="18"/>
                          <w:szCs w:val="18"/>
                        </w:rPr>
                        <w:t xml:space="preserve"> Findings: The initial burst release followed by sustained release </w:t>
                      </w:r>
                      <w:r w:rsidR="00E145EA" w:rsidRPr="00814066">
                        <w:rPr>
                          <w:rFonts w:ascii="Tw Cen MT" w:hAnsi="Tw Cen MT"/>
                          <w:color w:val="000000" w:themeColor="text1"/>
                          <w:sz w:val="18"/>
                          <w:szCs w:val="18"/>
                        </w:rPr>
                        <w:t>up to</w:t>
                      </w:r>
                      <w:r w:rsidRPr="00814066">
                        <w:rPr>
                          <w:rFonts w:ascii="Tw Cen MT" w:hAnsi="Tw Cen MT"/>
                          <w:color w:val="000000" w:themeColor="text1"/>
                          <w:sz w:val="18"/>
                          <w:szCs w:val="18"/>
                        </w:rPr>
                        <w:t xml:space="preserve"> 96 h proved the controlled release of the drug. After 24 h, both GO and GO-PEG-cephalexin had an inhibitory action on each selected bacterial strains at very low concentrations when compared to free cephalexin. Conclusion and significance: GO can </w:t>
                      </w:r>
                      <w:r>
                        <w:rPr>
                          <w:rFonts w:ascii="Tw Cen MT" w:hAnsi="Tw Cen MT"/>
                          <w:color w:val="000000" w:themeColor="text1"/>
                          <w:sz w:val="18"/>
                          <w:szCs w:val="18"/>
                        </w:rPr>
                        <w:t>significantly increase</w:t>
                      </w:r>
                      <w:r w:rsidRPr="00814066">
                        <w:rPr>
                          <w:rFonts w:ascii="Tw Cen MT" w:hAnsi="Tw Cen MT"/>
                          <w:color w:val="000000" w:themeColor="text1"/>
                          <w:sz w:val="18"/>
                          <w:szCs w:val="18"/>
                        </w:rPr>
                        <w:t xml:space="preserve"> the antibacterial activity of cephalexin</w:t>
                      </w:r>
                      <w:r>
                        <w:rPr>
                          <w:rFonts w:ascii="Tw Cen MT" w:hAnsi="Tw Cen MT"/>
                          <w:color w:val="000000" w:themeColor="text1"/>
                          <w:sz w:val="18"/>
                          <w:szCs w:val="18"/>
                        </w:rPr>
                        <w:t>.</w:t>
                      </w:r>
                      <w:r w:rsidRPr="00814066">
                        <w:rPr>
                          <w:rFonts w:ascii="Tw Cen MT" w:hAnsi="Tw Cen MT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w Cen MT" w:hAnsi="Tw Cen MT"/>
                          <w:color w:val="000000" w:themeColor="text1"/>
                          <w:sz w:val="18"/>
                          <w:szCs w:val="18"/>
                        </w:rPr>
                        <w:t>L</w:t>
                      </w:r>
                      <w:r w:rsidRPr="00814066">
                        <w:rPr>
                          <w:rFonts w:ascii="Tw Cen MT" w:hAnsi="Tw Cen MT"/>
                          <w:color w:val="000000" w:themeColor="text1"/>
                          <w:sz w:val="18"/>
                          <w:szCs w:val="18"/>
                        </w:rPr>
                        <w:t>ower MIC value can be obtained with cephalexin</w:t>
                      </w:r>
                      <w:r w:rsidR="00034D59">
                        <w:rPr>
                          <w:rFonts w:ascii="Tw Cen MT" w:hAnsi="Tw Cen MT"/>
                          <w:color w:val="000000" w:themeColor="text1"/>
                          <w:sz w:val="18"/>
                          <w:szCs w:val="18"/>
                        </w:rPr>
                        <w:t xml:space="preserve"> loaded composite</w:t>
                      </w:r>
                      <w:r w:rsidRPr="00814066">
                        <w:rPr>
                          <w:rFonts w:ascii="Tw Cen MT" w:hAnsi="Tw Cen MT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="00034D59">
                        <w:rPr>
                          <w:rFonts w:ascii="Tw Cen MT" w:hAnsi="Tw Cen MT"/>
                          <w:color w:val="000000" w:themeColor="text1"/>
                          <w:sz w:val="18"/>
                          <w:szCs w:val="18"/>
                        </w:rPr>
                        <w:t xml:space="preserve">with respect </w:t>
                      </w:r>
                      <w:r w:rsidRPr="00814066">
                        <w:rPr>
                          <w:rFonts w:ascii="Tw Cen MT" w:hAnsi="Tw Cen MT"/>
                          <w:color w:val="000000" w:themeColor="text1"/>
                          <w:sz w:val="18"/>
                          <w:szCs w:val="18"/>
                        </w:rPr>
                        <w:t xml:space="preserve">to free cephalexin. </w:t>
                      </w:r>
                    </w:p>
                    <w:p w:rsidR="0091188D" w:rsidRPr="002A0EA1" w:rsidRDefault="0091188D" w:rsidP="00814066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     </w:t>
                      </w:r>
                    </w:p>
                    <w:p w:rsidR="0091188D" w:rsidRPr="002A0EA1" w:rsidRDefault="0091188D" w:rsidP="00814066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91188D" w:rsidRDefault="0091188D" w:rsidP="0081406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814066">
        <w:rPr>
          <w:rFonts w:ascii="Arial" w:hAnsi="Arial" w:cs="Arial"/>
          <w:color w:val="984806" w:themeColor="accent6" w:themeShade="80"/>
          <w:sz w:val="20"/>
          <w:szCs w:val="20"/>
        </w:rPr>
        <w:t>Abstract</w:t>
      </w:r>
    </w:p>
    <w:p w:rsidR="00B71B2A" w:rsidRDefault="00CE35BF">
      <w:pPr>
        <w:rPr>
          <w:rFonts w:ascii="Arial" w:hAnsi="Arial" w:cs="Arial"/>
          <w:b/>
          <w:color w:val="4F81BD" w:themeColor="accent1"/>
          <w:sz w:val="18"/>
          <w:szCs w:val="18"/>
        </w:rPr>
      </w:pPr>
      <w:r>
        <w:rPr>
          <w:rFonts w:ascii="Arial" w:hAnsi="Arial" w:cs="Arial"/>
          <w:b/>
          <w:noProof/>
          <w:color w:val="4F81BD" w:themeColor="accen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28EFA00" wp14:editId="5219B61A">
                <wp:simplePos x="0" y="0"/>
                <wp:positionH relativeFrom="column">
                  <wp:posOffset>5381625</wp:posOffset>
                </wp:positionH>
                <wp:positionV relativeFrom="paragraph">
                  <wp:posOffset>1159286</wp:posOffset>
                </wp:positionV>
                <wp:extent cx="800100" cy="219075"/>
                <wp:effectExtent l="0" t="0" r="19050" b="285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188D" w:rsidRPr="00CE35BF" w:rsidRDefault="0091188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E35BF">
                              <w:rPr>
                                <w:sz w:val="20"/>
                                <w:szCs w:val="20"/>
                              </w:rPr>
                              <w:t>GO-PEG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EFA00" id="Text Box 15" o:spid="_x0000_s1028" type="#_x0000_t202" style="position:absolute;margin-left:423.75pt;margin-top:91.3pt;width:63pt;height:17.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" fillcolor="white [3201]" strokeweight=".5pt">
                <v:textbox>
                  <w:txbxContent>
                    <w:p w:rsidR="0091188D" w:rsidRPr="00CE35BF" w:rsidRDefault="0091188D">
                      <w:pPr>
                        <w:rPr>
                          <w:sz w:val="20"/>
                          <w:szCs w:val="20"/>
                        </w:rPr>
                      </w:pPr>
                      <w:r w:rsidRPr="00CE35BF">
                        <w:rPr>
                          <w:sz w:val="20"/>
                          <w:szCs w:val="20"/>
                        </w:rPr>
                        <w:t>GO-PEG</w:t>
                      </w:r>
                    </w:p>
                  </w:txbxContent>
                </v:textbox>
              </v:shape>
            </w:pict>
          </mc:Fallback>
        </mc:AlternateContent>
      </w:r>
      <w:r w:rsidR="00320E1B">
        <w:rPr>
          <w:rFonts w:ascii="Arial" w:hAnsi="Arial" w:cs="Arial"/>
          <w:b/>
          <w:noProof/>
          <w:color w:val="4F81BD" w:themeColor="accent1"/>
          <w:sz w:val="18"/>
          <w:szCs w:val="1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3733800</wp:posOffset>
            </wp:positionH>
            <wp:positionV relativeFrom="paragraph">
              <wp:posOffset>365760</wp:posOffset>
            </wp:positionV>
            <wp:extent cx="1048991" cy="1729740"/>
            <wp:effectExtent l="38100" t="0" r="18415" b="0"/>
            <wp:wrapNone/>
            <wp:docPr id="4" name="Diagra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anchor>
        </w:drawing>
      </w:r>
      <w:r w:rsidR="00320E1B">
        <w:rPr>
          <w:rFonts w:ascii="Arial" w:hAnsi="Arial" w:cs="Arial"/>
          <w:b/>
          <w:noProof/>
          <w:color w:val="4F81BD" w:themeColor="accen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4010025</wp:posOffset>
                </wp:positionH>
                <wp:positionV relativeFrom="paragraph">
                  <wp:posOffset>2870835</wp:posOffset>
                </wp:positionV>
                <wp:extent cx="2673985" cy="72390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3985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188D" w:rsidRPr="00320E1B" w:rsidRDefault="0091188D" w:rsidP="00320E1B">
                            <w:r>
                              <w:t xml:space="preserve">Figure: </w:t>
                            </w:r>
                            <w:r w:rsidRPr="00320E1B">
                              <w:t xml:space="preserve">Inhibitory activity of </w:t>
                            </w:r>
                            <w:r>
                              <w:t>GO-PEG, GO-PEG-</w:t>
                            </w:r>
                            <w:proofErr w:type="gramStart"/>
                            <w:r>
                              <w:t xml:space="preserve">cephalexin </w:t>
                            </w:r>
                            <w:r w:rsidRPr="00320E1B">
                              <w:t xml:space="preserve"> against</w:t>
                            </w:r>
                            <w:proofErr w:type="gramEnd"/>
                            <w:r w:rsidRPr="00320E1B"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4 bacterial strains after </w:t>
                            </w:r>
                            <w:r w:rsidRPr="00320E1B">
                              <w:t xml:space="preserve">24 hours </w:t>
                            </w:r>
                          </w:p>
                          <w:p w:rsidR="0091188D" w:rsidRDefault="0091188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29" type="#_x0000_t202" style="position:absolute;margin-left:315.75pt;margin-top:226.05pt;width:210.55pt;height:5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" fillcolor="white [3201]" stroked="f" strokeweight=".5pt">
                <v:textbox>
                  <w:txbxContent>
                    <w:p w:rsidR="0091188D" w:rsidRPr="00320E1B" w:rsidRDefault="0091188D" w:rsidP="00320E1B">
                      <w:r>
                        <w:t xml:space="preserve">Figure: </w:t>
                      </w:r>
                      <w:r w:rsidRPr="00320E1B">
                        <w:t xml:space="preserve">Inhibitory activity of </w:t>
                      </w:r>
                      <w:r>
                        <w:t>GO-PEG, GO-PEG-</w:t>
                      </w:r>
                      <w:proofErr w:type="gramStart"/>
                      <w:r>
                        <w:t xml:space="preserve">cephalexin </w:t>
                      </w:r>
                      <w:r w:rsidRPr="00320E1B">
                        <w:t xml:space="preserve"> against</w:t>
                      </w:r>
                      <w:proofErr w:type="gramEnd"/>
                      <w:r w:rsidRPr="00320E1B">
                        <w:t xml:space="preserve"> </w:t>
                      </w:r>
                      <w:r>
                        <w:rPr>
                          <w:i/>
                          <w:iCs/>
                        </w:rPr>
                        <w:t xml:space="preserve">4 bacterial strains after </w:t>
                      </w:r>
                      <w:r w:rsidRPr="00320E1B">
                        <w:t xml:space="preserve">24 hours </w:t>
                      </w:r>
                    </w:p>
                    <w:p w:rsidR="0091188D" w:rsidRDefault="0091188D"/>
                  </w:txbxContent>
                </v:textbox>
              </v:shape>
            </w:pict>
          </mc:Fallback>
        </mc:AlternateContent>
      </w:r>
      <w:r w:rsidR="00320E1B">
        <w:rPr>
          <w:rFonts w:ascii="Arial" w:hAnsi="Arial" w:cs="Arial"/>
          <w:b/>
          <w:noProof/>
          <w:color w:val="4F81BD" w:themeColor="accen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1D6EB2" wp14:editId="092C7C22">
                <wp:simplePos x="0" y="0"/>
                <wp:positionH relativeFrom="column">
                  <wp:posOffset>3619500</wp:posOffset>
                </wp:positionH>
                <wp:positionV relativeFrom="paragraph">
                  <wp:posOffset>81915</wp:posOffset>
                </wp:positionV>
                <wp:extent cx="3190875" cy="266700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875" cy="266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1188D" w:rsidRDefault="0091188D" w:rsidP="00320E1B"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color w:val="4F81BD" w:themeColor="accent1"/>
                                <w:sz w:val="18"/>
                                <w:szCs w:val="18"/>
                              </w:rPr>
                              <w:t xml:space="preserve">                                   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color w:val="4F81BD" w:themeColor="accent1"/>
                                <w:sz w:val="18"/>
                                <w:szCs w:val="18"/>
                              </w:rPr>
                              <w:tab/>
                              <w:t xml:space="preserve">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D6EB2" id="Rectangle 2" o:spid="_x0000_s1030" style="position:absolute;margin-left:285pt;margin-top:6.45pt;width:251.25pt;height:21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" filled="f" stroked="f" strokeweight="2pt">
                <v:textbox>
                  <w:txbxContent>
                    <w:p w:rsidR="0091188D" w:rsidRDefault="0091188D" w:rsidP="00320E1B">
                      <w:r>
                        <w:rPr>
                          <w:rFonts w:ascii="Arial" w:hAnsi="Arial" w:cs="Arial"/>
                          <w:b/>
                          <w:noProof/>
                          <w:color w:val="4F81BD" w:themeColor="accent1"/>
                          <w:sz w:val="18"/>
                          <w:szCs w:val="18"/>
                        </w:rPr>
                        <w:t xml:space="preserve">                                       </w:t>
                      </w:r>
                      <w:r>
                        <w:rPr>
                          <w:rFonts w:ascii="Arial" w:hAnsi="Arial" w:cs="Arial"/>
                          <w:b/>
                          <w:noProof/>
                          <w:color w:val="4F81BD" w:themeColor="accent1"/>
                          <w:sz w:val="18"/>
                          <w:szCs w:val="18"/>
                        </w:rPr>
                        <w:tab/>
                        <w:t xml:space="preserve">                      </w:t>
                      </w:r>
                    </w:p>
                  </w:txbxContent>
                </v:textbox>
              </v:rect>
            </w:pict>
          </mc:Fallback>
        </mc:AlternateContent>
      </w:r>
      <w:r w:rsidR="0092501B">
        <w:rPr>
          <w:rFonts w:ascii="Arial" w:hAnsi="Arial" w:cs="Arial"/>
          <w:b/>
          <w:noProof/>
          <w:color w:val="4F81BD" w:themeColor="accen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AF6F95B" wp14:editId="0FC8CC10">
                <wp:simplePos x="0" y="0"/>
                <wp:positionH relativeFrom="column">
                  <wp:posOffset>4852035</wp:posOffset>
                </wp:positionH>
                <wp:positionV relativeFrom="paragraph">
                  <wp:posOffset>1253490</wp:posOffset>
                </wp:positionV>
                <wp:extent cx="358140" cy="0"/>
                <wp:effectExtent l="0" t="76200" r="22860" b="11430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814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C6C255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8" o:spid="_x0000_s1026" type="#_x0000_t32" style="position:absolute;margin-left:382.05pt;margin-top:98.7pt;width:28.2pt;height:0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" strokecolor="#4579b8 [3044]">
                <v:stroke endarrow="open"/>
              </v:shape>
            </w:pict>
          </mc:Fallback>
        </mc:AlternateContent>
      </w:r>
      <w:r w:rsidR="0092501B">
        <w:rPr>
          <w:rFonts w:ascii="Arial" w:hAnsi="Arial" w:cs="Arial"/>
          <w:b/>
          <w:noProof/>
          <w:color w:val="4F81BD" w:themeColor="accen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49378A" wp14:editId="04E465AE">
                <wp:simplePos x="0" y="0"/>
                <wp:positionH relativeFrom="column">
                  <wp:posOffset>5381624</wp:posOffset>
                </wp:positionH>
                <wp:positionV relativeFrom="paragraph">
                  <wp:posOffset>2463165</wp:posOffset>
                </wp:positionV>
                <wp:extent cx="1038225" cy="295275"/>
                <wp:effectExtent l="0" t="0" r="28575" b="2857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188D" w:rsidRPr="00CE35BF" w:rsidRDefault="0091188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E35BF">
                              <w:rPr>
                                <w:sz w:val="20"/>
                                <w:szCs w:val="20"/>
                              </w:rPr>
                              <w:t>GO-PEG-</w:t>
                            </w:r>
                            <w:proofErr w:type="spellStart"/>
                            <w:r w:rsidRPr="00CE35BF">
                              <w:rPr>
                                <w:sz w:val="20"/>
                                <w:szCs w:val="20"/>
                              </w:rPr>
                              <w:t>ceph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49378A" id="Text Box 17" o:spid="_x0000_s1031" type="#_x0000_t202" style="position:absolute;margin-left:423.75pt;margin-top:193.95pt;width:81.75pt;height:23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" fillcolor="white [3201]" strokeweight=".5pt">
                <v:textbox>
                  <w:txbxContent>
                    <w:p w:rsidR="0091188D" w:rsidRPr="00CE35BF" w:rsidRDefault="0091188D">
                      <w:pPr>
                        <w:rPr>
                          <w:sz w:val="20"/>
                          <w:szCs w:val="20"/>
                        </w:rPr>
                      </w:pPr>
                      <w:r w:rsidRPr="00CE35BF">
                        <w:rPr>
                          <w:sz w:val="20"/>
                          <w:szCs w:val="20"/>
                        </w:rPr>
                        <w:t>GO-PEG-</w:t>
                      </w:r>
                      <w:proofErr w:type="spellStart"/>
                      <w:r w:rsidRPr="00CE35BF">
                        <w:rPr>
                          <w:sz w:val="20"/>
                          <w:szCs w:val="20"/>
                        </w:rPr>
                        <w:t>ceph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92501B">
        <w:rPr>
          <w:rFonts w:ascii="Arial" w:hAnsi="Arial" w:cs="Arial"/>
          <w:b/>
          <w:noProof/>
          <w:color w:val="4F81BD" w:themeColor="accen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6BF70F" wp14:editId="2BF1DEB4">
                <wp:simplePos x="0" y="0"/>
                <wp:positionH relativeFrom="column">
                  <wp:posOffset>5286375</wp:posOffset>
                </wp:positionH>
                <wp:positionV relativeFrom="paragraph">
                  <wp:posOffset>1415415</wp:posOffset>
                </wp:positionV>
                <wp:extent cx="1466850" cy="981075"/>
                <wp:effectExtent l="0" t="0" r="19050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850" cy="981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188D" w:rsidRDefault="0091188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839BAF" wp14:editId="75F83CCC">
                                  <wp:extent cx="1038225" cy="808454"/>
                                  <wp:effectExtent l="0" t="0" r="0" b="0"/>
                                  <wp:docPr id="13" name="Picture 13" descr="C:\Users\User\Desktop\GO PEG cep.t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C:\Users\User\Desktop\GO PEG cep.t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9306" cy="8092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BF70F" id="Text Box 11" o:spid="_x0000_s1032" type="#_x0000_t202" style="position:absolute;margin-left:416.25pt;margin-top:111.45pt;width:115.5pt;height:7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" fillcolor="white [3201]" strokeweight=".5pt">
                <v:textbox>
                  <w:txbxContent>
                    <w:p w:rsidR="0091188D" w:rsidRDefault="0091188D">
                      <w:r>
                        <w:rPr>
                          <w:noProof/>
                        </w:rPr>
                        <w:drawing>
                          <wp:inline distT="0" distB="0" distL="0" distR="0" wp14:anchorId="0A839BAF" wp14:editId="75F83CCC">
                            <wp:extent cx="1038225" cy="808454"/>
                            <wp:effectExtent l="0" t="0" r="0" b="0"/>
                            <wp:docPr id="13" name="Picture 13" descr="C:\Users\User\Desktop\GO PEG cep.t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C:\Users\User\Desktop\GO PEG cep.t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39306" cy="8092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97B66">
        <w:rPr>
          <w:rFonts w:eastAsia="Times New Roman"/>
        </w:rPr>
        <w:t xml:space="preserve">   </w:t>
      </w:r>
    </w:p>
    <w:p w:rsidR="00B71B2A" w:rsidRPr="00B71B2A" w:rsidRDefault="00B71B2A" w:rsidP="00B71B2A">
      <w:pPr>
        <w:rPr>
          <w:rFonts w:ascii="Arial" w:hAnsi="Arial" w:cs="Arial"/>
          <w:sz w:val="18"/>
          <w:szCs w:val="18"/>
        </w:rPr>
      </w:pPr>
    </w:p>
    <w:p w:rsidR="00B71B2A" w:rsidRPr="00B71B2A" w:rsidRDefault="00B71B2A" w:rsidP="00B71B2A">
      <w:pPr>
        <w:rPr>
          <w:rFonts w:ascii="Arial" w:hAnsi="Arial" w:cs="Arial"/>
          <w:sz w:val="18"/>
          <w:szCs w:val="18"/>
        </w:rPr>
      </w:pPr>
    </w:p>
    <w:p w:rsidR="00B71B2A" w:rsidRPr="00B71B2A" w:rsidRDefault="00B71B2A" w:rsidP="00B71B2A">
      <w:pPr>
        <w:rPr>
          <w:rFonts w:ascii="Arial" w:hAnsi="Arial" w:cs="Arial"/>
          <w:sz w:val="18"/>
          <w:szCs w:val="18"/>
        </w:rPr>
      </w:pPr>
    </w:p>
    <w:p w:rsidR="00B71B2A" w:rsidRPr="00B71B2A" w:rsidRDefault="00B71B2A" w:rsidP="00B71B2A">
      <w:pPr>
        <w:rPr>
          <w:rFonts w:ascii="Arial" w:hAnsi="Arial" w:cs="Arial"/>
          <w:sz w:val="18"/>
          <w:szCs w:val="18"/>
        </w:rPr>
      </w:pPr>
    </w:p>
    <w:p w:rsidR="00B71B2A" w:rsidRPr="00B71B2A" w:rsidRDefault="00B71B2A" w:rsidP="00B71B2A">
      <w:pPr>
        <w:rPr>
          <w:rFonts w:ascii="Arial" w:hAnsi="Arial" w:cs="Arial"/>
          <w:sz w:val="18"/>
          <w:szCs w:val="18"/>
        </w:rPr>
      </w:pPr>
    </w:p>
    <w:p w:rsidR="00B71B2A" w:rsidRPr="00B71B2A" w:rsidRDefault="00B71B2A" w:rsidP="00B71B2A">
      <w:pPr>
        <w:rPr>
          <w:rFonts w:ascii="Arial" w:hAnsi="Arial" w:cs="Arial"/>
          <w:sz w:val="18"/>
          <w:szCs w:val="18"/>
        </w:rPr>
      </w:pPr>
    </w:p>
    <w:p w:rsidR="00B71B2A" w:rsidRPr="00B71B2A" w:rsidRDefault="00B71B2A" w:rsidP="00B71B2A">
      <w:pPr>
        <w:rPr>
          <w:rFonts w:ascii="Arial" w:hAnsi="Arial" w:cs="Arial"/>
          <w:sz w:val="18"/>
          <w:szCs w:val="18"/>
        </w:rPr>
      </w:pPr>
    </w:p>
    <w:p w:rsidR="00B71B2A" w:rsidRPr="00B71B2A" w:rsidRDefault="00B71B2A" w:rsidP="00B71B2A">
      <w:pPr>
        <w:rPr>
          <w:rFonts w:ascii="Arial" w:hAnsi="Arial" w:cs="Arial"/>
          <w:sz w:val="18"/>
          <w:szCs w:val="18"/>
        </w:rPr>
      </w:pPr>
    </w:p>
    <w:p w:rsidR="00B71B2A" w:rsidRPr="00B71B2A" w:rsidRDefault="00B71B2A" w:rsidP="00B71B2A">
      <w:pPr>
        <w:rPr>
          <w:rFonts w:ascii="Arial" w:hAnsi="Arial" w:cs="Arial"/>
          <w:sz w:val="18"/>
          <w:szCs w:val="18"/>
        </w:rPr>
      </w:pPr>
    </w:p>
    <w:p w:rsidR="00B71B2A" w:rsidRPr="00B71B2A" w:rsidRDefault="00B71B2A" w:rsidP="00B71B2A">
      <w:pPr>
        <w:rPr>
          <w:rFonts w:ascii="Arial" w:hAnsi="Arial" w:cs="Arial"/>
          <w:sz w:val="18"/>
          <w:szCs w:val="18"/>
        </w:rPr>
      </w:pPr>
    </w:p>
    <w:p w:rsidR="00B71B2A" w:rsidRPr="00B71B2A" w:rsidRDefault="00B71B2A" w:rsidP="00B71B2A">
      <w:pPr>
        <w:rPr>
          <w:rFonts w:ascii="Arial" w:hAnsi="Arial" w:cs="Arial"/>
          <w:sz w:val="18"/>
          <w:szCs w:val="18"/>
        </w:rPr>
      </w:pPr>
    </w:p>
    <w:p w:rsidR="00B71B2A" w:rsidRPr="00B71B2A" w:rsidRDefault="00B71B2A" w:rsidP="00B71B2A">
      <w:pPr>
        <w:rPr>
          <w:rFonts w:ascii="Arial" w:hAnsi="Arial" w:cs="Arial"/>
          <w:sz w:val="18"/>
          <w:szCs w:val="18"/>
        </w:rPr>
      </w:pPr>
    </w:p>
    <w:p w:rsidR="00B71B2A" w:rsidRPr="00B71B2A" w:rsidRDefault="00B71B2A" w:rsidP="00B71B2A">
      <w:pPr>
        <w:rPr>
          <w:rFonts w:ascii="Arial" w:hAnsi="Arial" w:cs="Arial"/>
          <w:sz w:val="18"/>
          <w:szCs w:val="18"/>
        </w:rPr>
      </w:pPr>
    </w:p>
    <w:p w:rsidR="00B71B2A" w:rsidRPr="00B71B2A" w:rsidRDefault="00B71B2A" w:rsidP="00B71B2A">
      <w:pPr>
        <w:rPr>
          <w:rFonts w:ascii="Arial" w:hAnsi="Arial" w:cs="Arial"/>
          <w:sz w:val="18"/>
          <w:szCs w:val="18"/>
        </w:rPr>
      </w:pPr>
    </w:p>
    <w:p w:rsidR="00B71B2A" w:rsidRPr="00B71B2A" w:rsidRDefault="00B71B2A" w:rsidP="00B71B2A">
      <w:pPr>
        <w:rPr>
          <w:rFonts w:ascii="Arial" w:hAnsi="Arial" w:cs="Arial"/>
          <w:sz w:val="18"/>
          <w:szCs w:val="18"/>
        </w:rPr>
      </w:pPr>
    </w:p>
    <w:p w:rsidR="00B71B2A" w:rsidRPr="00B71B2A" w:rsidRDefault="00B71B2A" w:rsidP="00B71B2A">
      <w:pPr>
        <w:rPr>
          <w:rFonts w:ascii="Arial" w:hAnsi="Arial" w:cs="Arial"/>
          <w:sz w:val="18"/>
          <w:szCs w:val="18"/>
        </w:rPr>
      </w:pPr>
    </w:p>
    <w:p w:rsidR="00B71B2A" w:rsidRPr="00B71B2A" w:rsidRDefault="00B71B2A" w:rsidP="00B71B2A">
      <w:pPr>
        <w:rPr>
          <w:rFonts w:ascii="Arial" w:hAnsi="Arial" w:cs="Arial"/>
          <w:sz w:val="18"/>
          <w:szCs w:val="18"/>
        </w:rPr>
      </w:pPr>
    </w:p>
    <w:p w:rsidR="00B71B2A" w:rsidRPr="00B71B2A" w:rsidRDefault="00B71B2A" w:rsidP="00B71B2A">
      <w:pPr>
        <w:rPr>
          <w:rFonts w:ascii="Arial" w:hAnsi="Arial" w:cs="Arial"/>
          <w:sz w:val="18"/>
          <w:szCs w:val="18"/>
        </w:rPr>
      </w:pPr>
    </w:p>
    <w:p w:rsidR="00B71B2A" w:rsidRPr="00B71B2A" w:rsidRDefault="00B71B2A" w:rsidP="00B71B2A">
      <w:pPr>
        <w:rPr>
          <w:rFonts w:ascii="Arial" w:hAnsi="Arial" w:cs="Arial"/>
          <w:sz w:val="18"/>
          <w:szCs w:val="18"/>
        </w:rPr>
      </w:pPr>
    </w:p>
    <w:p w:rsidR="00B71B2A" w:rsidRPr="00B71B2A" w:rsidRDefault="00B71B2A" w:rsidP="00B71B2A">
      <w:pPr>
        <w:rPr>
          <w:rFonts w:ascii="Arial" w:hAnsi="Arial" w:cs="Arial"/>
          <w:sz w:val="18"/>
          <w:szCs w:val="18"/>
        </w:rPr>
      </w:pPr>
    </w:p>
    <w:p w:rsidR="00B71B2A" w:rsidRDefault="00B71B2A" w:rsidP="00B71B2A">
      <w:pPr>
        <w:rPr>
          <w:rFonts w:ascii="Arial" w:hAnsi="Arial" w:cs="Arial"/>
          <w:sz w:val="18"/>
          <w:szCs w:val="18"/>
        </w:rPr>
      </w:pPr>
    </w:p>
    <w:p w:rsidR="00B71B2A" w:rsidRDefault="00B71B2A" w:rsidP="00B71B2A">
      <w:pPr>
        <w:spacing w:before="92"/>
        <w:ind w:right="4234"/>
        <w:rPr>
          <w:noProof/>
        </w:rPr>
      </w:pPr>
      <w:r>
        <w:rPr>
          <w:noProof/>
        </w:rPr>
        <w:lastRenderedPageBreak/>
        <w:t xml:space="preserve">              </w:t>
      </w:r>
      <w:r>
        <w:rPr>
          <w:noProof/>
        </w:rPr>
        <mc:AlternateContent>
          <mc:Choice Requires="wps">
            <w:drawing>
              <wp:inline distT="0" distB="0" distL="0" distR="0" wp14:anchorId="75A3AD07" wp14:editId="2331D8DC">
                <wp:extent cx="952500" cy="1190625"/>
                <wp:effectExtent l="0" t="0" r="0" b="0"/>
                <wp:docPr id="3" name="AutoShape 2" descr="17.Dr.Laksir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52500" cy="1190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AC003D" id="AutoShape 2" o:spid="_x0000_s1026" alt="17.Dr.Laksiri" style="width:75pt;height:9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" filled="f" stroked="f">
                <o:lock v:ext="edit" aspectratio="t"/>
                <w10:anchorlock/>
              </v:rect>
            </w:pict>
          </mc:Fallback>
        </mc:AlternateContent>
      </w:r>
      <w:r w:rsidRPr="00EE628C">
        <w:rPr>
          <w:noProof/>
        </w:rPr>
        <w:drawing>
          <wp:inline distT="0" distB="0" distL="0" distR="0" wp14:anchorId="4A593861" wp14:editId="5BD4AD84">
            <wp:extent cx="885825" cy="1107281"/>
            <wp:effectExtent l="0" t="0" r="0" b="0"/>
            <wp:docPr id="6" name="Picture 6" descr="C:\Users\laksiri\Desktop\17.Dr_.Laksiri-240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aksiri\Desktop\17.Dr_.Laksiri-240x30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871" cy="1124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09117759" wp14:editId="7E1C555D">
                <wp:extent cx="952500" cy="1190625"/>
                <wp:effectExtent l="0" t="0" r="0" b="0"/>
                <wp:docPr id="5" name="AutoShape 4" descr="17.Dr.Laksir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52500" cy="1190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EE54EA" id="AutoShape 4" o:spid="_x0000_s1026" alt="17.Dr.Laksiri" style="width:75pt;height:9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" filled="f" stroked="f">
                <o:lock v:ext="edit" aspectratio="t"/>
                <w10:anchorlock/>
              </v:rect>
            </w:pict>
          </mc:Fallback>
        </mc:AlternateContent>
      </w:r>
    </w:p>
    <w:p w:rsidR="00B71B2A" w:rsidRDefault="00B71B2A" w:rsidP="00B71B2A">
      <w:pPr>
        <w:spacing w:before="92"/>
        <w:ind w:right="4234"/>
        <w:rPr>
          <w:rFonts w:ascii="Arial"/>
          <w:color w:val="BF5A14"/>
        </w:rPr>
      </w:pPr>
      <w:r>
        <w:rPr>
          <w:rFonts w:ascii="Arial"/>
          <w:color w:val="BF5A14"/>
        </w:rPr>
        <w:t>Biography</w:t>
      </w:r>
    </w:p>
    <w:p w:rsidR="00B71B2A" w:rsidRPr="003C626B" w:rsidRDefault="00B71B2A" w:rsidP="00B71B2A">
      <w:pPr>
        <w:jc w:val="both"/>
        <w:rPr>
          <w:rFonts w:ascii="Arial" w:hAnsi="Arial" w:cs="Arial"/>
        </w:rPr>
      </w:pPr>
      <w:r w:rsidRPr="003C626B">
        <w:rPr>
          <w:rFonts w:ascii="Arial" w:hAnsi="Arial" w:cs="Arial"/>
        </w:rPr>
        <w:t xml:space="preserve">Dr. Laksiri Weerasinghe obtained his </w:t>
      </w:r>
      <w:proofErr w:type="spellStart"/>
      <w:r w:rsidRPr="003C626B">
        <w:rPr>
          <w:rFonts w:ascii="Arial" w:hAnsi="Arial" w:cs="Arial"/>
        </w:rPr>
        <w:t>B.Sc</w:t>
      </w:r>
      <w:proofErr w:type="spellEnd"/>
      <w:r w:rsidRPr="003C626B">
        <w:rPr>
          <w:rFonts w:ascii="Arial" w:hAnsi="Arial" w:cs="Arial"/>
        </w:rPr>
        <w:t xml:space="preserve"> degree in chemistry from University of Colombo. He completed his </w:t>
      </w:r>
      <w:proofErr w:type="spellStart"/>
      <w:r w:rsidRPr="003C626B">
        <w:rPr>
          <w:rFonts w:ascii="Arial" w:hAnsi="Arial" w:cs="Arial"/>
        </w:rPr>
        <w:t>Ph.D</w:t>
      </w:r>
      <w:proofErr w:type="spellEnd"/>
      <w:r w:rsidRPr="003C626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in the area of</w:t>
      </w:r>
      <w:r w:rsidRPr="003C626B">
        <w:rPr>
          <w:rFonts w:ascii="Arial" w:hAnsi="Arial" w:cs="Arial"/>
        </w:rPr>
        <w:t xml:space="preserve"> total synthesis</w:t>
      </w:r>
      <w:r>
        <w:rPr>
          <w:rFonts w:ascii="Arial" w:hAnsi="Arial" w:cs="Arial"/>
        </w:rPr>
        <w:t xml:space="preserve"> </w:t>
      </w:r>
      <w:r w:rsidRPr="003C626B">
        <w:rPr>
          <w:rFonts w:ascii="Arial" w:hAnsi="Arial" w:cs="Arial"/>
        </w:rPr>
        <w:t xml:space="preserve">under the supervision of Prof. Philip Garner at Washington state university, USA and then completed his postdoctoral studies with Prof. Stephen </w:t>
      </w:r>
      <w:proofErr w:type="spellStart"/>
      <w:r w:rsidRPr="003C626B">
        <w:rPr>
          <w:rFonts w:ascii="Arial" w:hAnsi="Arial" w:cs="Arial"/>
        </w:rPr>
        <w:t>Hanessian</w:t>
      </w:r>
      <w:proofErr w:type="spellEnd"/>
      <w:r w:rsidRPr="003C626B">
        <w:rPr>
          <w:rFonts w:ascii="Arial" w:hAnsi="Arial" w:cs="Arial"/>
        </w:rPr>
        <w:t xml:space="preserve"> at University of Montreal, Canada. He is currently working as a senior research scientist at Sri Lanka Institute of Nanotechnology and his current research interest are </w:t>
      </w:r>
      <w:r>
        <w:rPr>
          <w:rFonts w:ascii="Arial" w:hAnsi="Arial" w:cs="Arial"/>
        </w:rPr>
        <w:t>small molecular</w:t>
      </w:r>
      <w:r w:rsidRPr="003C626B">
        <w:rPr>
          <w:rFonts w:ascii="Arial" w:hAnsi="Arial" w:cs="Arial"/>
        </w:rPr>
        <w:t xml:space="preserve"> synthesis, </w:t>
      </w:r>
      <w:r>
        <w:rPr>
          <w:rFonts w:ascii="Arial" w:hAnsi="Arial" w:cs="Arial"/>
        </w:rPr>
        <w:t xml:space="preserve">Solid phase Synthesis of biologically important small Antimicrobial peptides and </w:t>
      </w:r>
      <w:r w:rsidRPr="003C626B">
        <w:rPr>
          <w:rFonts w:ascii="Arial" w:hAnsi="Arial" w:cs="Arial"/>
        </w:rPr>
        <w:t xml:space="preserve">Targeted drug delivery using </w:t>
      </w:r>
      <w:proofErr w:type="spellStart"/>
      <w:r w:rsidRPr="003C626B">
        <w:rPr>
          <w:rFonts w:ascii="Arial" w:hAnsi="Arial" w:cs="Arial"/>
        </w:rPr>
        <w:t>nano</w:t>
      </w:r>
      <w:proofErr w:type="spellEnd"/>
      <w:r w:rsidRPr="003C626B">
        <w:rPr>
          <w:rFonts w:ascii="Arial" w:hAnsi="Arial" w:cs="Arial"/>
        </w:rPr>
        <w:t xml:space="preserve">-materials </w:t>
      </w:r>
    </w:p>
    <w:p w:rsidR="00B71B2A" w:rsidRDefault="00B71B2A" w:rsidP="00B71B2A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 xml:space="preserve"> </w:t>
      </w:r>
    </w:p>
    <w:p w:rsidR="00B71B2A" w:rsidRDefault="00B71B2A" w:rsidP="00B71B2A">
      <w:pPr>
        <w:spacing w:before="62"/>
        <w:ind w:right="4235"/>
        <w:rPr>
          <w:rFonts w:ascii="Arial"/>
          <w:sz w:val="14"/>
        </w:rPr>
      </w:pPr>
      <w:bookmarkStart w:id="0" w:name="_GoBack"/>
      <w:bookmarkEnd w:id="0"/>
      <w:r>
        <w:rPr>
          <w:rFonts w:ascii="Arial"/>
          <w:sz w:val="14"/>
        </w:rPr>
        <w:t>Email: laksiriw@slintec.lk</w:t>
      </w:r>
    </w:p>
    <w:p w:rsidR="007B03C3" w:rsidRPr="00B71B2A" w:rsidRDefault="007B03C3" w:rsidP="00B71B2A">
      <w:pPr>
        <w:ind w:firstLine="720"/>
        <w:rPr>
          <w:rFonts w:ascii="Arial" w:hAnsi="Arial" w:cs="Arial"/>
          <w:sz w:val="18"/>
          <w:szCs w:val="18"/>
        </w:rPr>
      </w:pPr>
    </w:p>
    <w:sectPr w:rsidR="007B03C3" w:rsidRPr="00B71B2A" w:rsidSect="00CB573F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066"/>
    <w:rsid w:val="00034D59"/>
    <w:rsid w:val="00320E1B"/>
    <w:rsid w:val="007B03C3"/>
    <w:rsid w:val="00814066"/>
    <w:rsid w:val="0091188D"/>
    <w:rsid w:val="0092501B"/>
    <w:rsid w:val="00B71B2A"/>
    <w:rsid w:val="00CB573F"/>
    <w:rsid w:val="00CE35BF"/>
    <w:rsid w:val="00D46AA3"/>
    <w:rsid w:val="00E145EA"/>
    <w:rsid w:val="00E63780"/>
    <w:rsid w:val="00F9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3CA1531-A9B3-42F1-A7F2-3E9790210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40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7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B6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B57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9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diagramLayout" Target="diagrams/layout1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image" Target="media/image2.tiff"/><Relationship Id="rId5" Type="http://schemas.openxmlformats.org/officeDocument/2006/relationships/image" Target="media/image1.tiff"/><Relationship Id="rId10" Type="http://schemas.microsoft.com/office/2007/relationships/diagramDrawing" Target="diagrams/drawing1.xml"/><Relationship Id="rId4" Type="http://schemas.openxmlformats.org/officeDocument/2006/relationships/webSettings" Target="webSettings.xml"/><Relationship Id="rId9" Type="http://schemas.openxmlformats.org/officeDocument/2006/relationships/diagramColors" Target="diagrams/colors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43895DA-89B3-4E1E-A5BD-DB438BFDDC40}" type="doc">
      <dgm:prSet loTypeId="urn:microsoft.com/office/officeart/2008/layout/HorizontalMultiLevelHierarchy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928CD3A7-EAC9-47D3-8A6D-72A1D82E1561}">
      <dgm:prSet phldrT="[Text]"/>
      <dgm:spPr/>
      <dgm:t>
        <a:bodyPr/>
        <a:lstStyle/>
        <a:p>
          <a:r>
            <a:rPr lang="en-US" dirty="0"/>
            <a:t>MTT Assay</a:t>
          </a:r>
          <a:endParaRPr lang="en-GB" dirty="0"/>
        </a:p>
      </dgm:t>
    </dgm:pt>
    <dgm:pt modelId="{DEB5B5EC-BF8D-417B-B6E7-3BA9FE51967C}" type="parTrans" cxnId="{879FC85E-AF60-4597-B3FC-291DA063370B}">
      <dgm:prSet/>
      <dgm:spPr/>
      <dgm:t>
        <a:bodyPr/>
        <a:lstStyle/>
        <a:p>
          <a:endParaRPr lang="en-GB"/>
        </a:p>
      </dgm:t>
    </dgm:pt>
    <dgm:pt modelId="{94F47D6F-7B29-4E96-8CFF-5CCC179B32F6}" type="sibTrans" cxnId="{879FC85E-AF60-4597-B3FC-291DA063370B}">
      <dgm:prSet/>
      <dgm:spPr/>
      <dgm:t>
        <a:bodyPr/>
        <a:lstStyle/>
        <a:p>
          <a:endParaRPr lang="en-GB"/>
        </a:p>
      </dgm:t>
    </dgm:pt>
    <dgm:pt modelId="{8895DB36-9FDB-4887-95D3-885820266794}">
      <dgm:prSet phldrT="[Text]"/>
      <dgm:spPr/>
      <dgm:t>
        <a:bodyPr/>
        <a:lstStyle/>
        <a:p>
          <a:r>
            <a:rPr lang="en-US" i="1" dirty="0"/>
            <a:t>Escherichia coli</a:t>
          </a:r>
          <a:r>
            <a:rPr lang="en-US" dirty="0"/>
            <a:t> </a:t>
          </a:r>
          <a:endParaRPr lang="en-GB" dirty="0"/>
        </a:p>
      </dgm:t>
    </dgm:pt>
    <dgm:pt modelId="{C6FAB171-AB8C-4FFB-8B36-3DED202365A1}" type="parTrans" cxnId="{B7865FEB-729A-4C29-9659-9A89E263371A}">
      <dgm:prSet/>
      <dgm:spPr/>
      <dgm:t>
        <a:bodyPr/>
        <a:lstStyle/>
        <a:p>
          <a:endParaRPr lang="en-GB"/>
        </a:p>
      </dgm:t>
    </dgm:pt>
    <dgm:pt modelId="{70554A27-7616-49BB-BF2A-81B8F20BE62D}" type="sibTrans" cxnId="{B7865FEB-729A-4C29-9659-9A89E263371A}">
      <dgm:prSet/>
      <dgm:spPr/>
      <dgm:t>
        <a:bodyPr/>
        <a:lstStyle/>
        <a:p>
          <a:endParaRPr lang="en-GB"/>
        </a:p>
      </dgm:t>
    </dgm:pt>
    <dgm:pt modelId="{13D6331B-EDA2-4811-867B-B0FD1D1FC464}">
      <dgm:prSet phldrT="[Text]"/>
      <dgm:spPr/>
      <dgm:t>
        <a:bodyPr/>
        <a:lstStyle/>
        <a:p>
          <a:r>
            <a:rPr lang="en-US" i="1" dirty="0"/>
            <a:t>Pseudomonas </a:t>
          </a:r>
          <a:r>
            <a:rPr lang="en-US" i="1" dirty="0" err="1"/>
            <a:t>aeruginosa</a:t>
          </a:r>
          <a:r>
            <a:rPr lang="en-US" i="1" dirty="0"/>
            <a:t> </a:t>
          </a:r>
          <a:endParaRPr lang="en-GB" dirty="0"/>
        </a:p>
      </dgm:t>
    </dgm:pt>
    <dgm:pt modelId="{EBB7B150-999F-4CF8-A601-33C842C715B5}" type="parTrans" cxnId="{4214994F-75C2-4F8C-A53A-BF874E488BC5}">
      <dgm:prSet/>
      <dgm:spPr/>
      <dgm:t>
        <a:bodyPr/>
        <a:lstStyle/>
        <a:p>
          <a:endParaRPr lang="en-GB"/>
        </a:p>
      </dgm:t>
    </dgm:pt>
    <dgm:pt modelId="{D122A3AC-4560-4699-9083-ED05CEDFF019}" type="sibTrans" cxnId="{4214994F-75C2-4F8C-A53A-BF874E488BC5}">
      <dgm:prSet/>
      <dgm:spPr/>
      <dgm:t>
        <a:bodyPr/>
        <a:lstStyle/>
        <a:p>
          <a:endParaRPr lang="en-GB"/>
        </a:p>
      </dgm:t>
    </dgm:pt>
    <dgm:pt modelId="{5CF04A30-08B4-4BEF-B93A-E0FD81EBFB1F}">
      <dgm:prSet phldrT="[Text]"/>
      <dgm:spPr/>
      <dgm:t>
        <a:bodyPr/>
        <a:lstStyle/>
        <a:p>
          <a:r>
            <a:rPr lang="en-US" i="1" dirty="0"/>
            <a:t>Staphylococcus </a:t>
          </a:r>
          <a:r>
            <a:rPr lang="en-US" i="1" dirty="0" err="1"/>
            <a:t>aureus</a:t>
          </a:r>
          <a:r>
            <a:rPr lang="en-US" dirty="0"/>
            <a:t> </a:t>
          </a:r>
          <a:endParaRPr lang="en-GB" dirty="0"/>
        </a:p>
      </dgm:t>
    </dgm:pt>
    <dgm:pt modelId="{F91B2292-D984-4AC4-9D56-72A4AA3ED533}" type="parTrans" cxnId="{64B57A80-C6E5-4904-98BD-FE3A8CFCDAF9}">
      <dgm:prSet/>
      <dgm:spPr/>
      <dgm:t>
        <a:bodyPr/>
        <a:lstStyle/>
        <a:p>
          <a:endParaRPr lang="en-GB"/>
        </a:p>
      </dgm:t>
    </dgm:pt>
    <dgm:pt modelId="{6123AEC8-AB4B-4716-8F17-6B849775404E}" type="sibTrans" cxnId="{64B57A80-C6E5-4904-98BD-FE3A8CFCDAF9}">
      <dgm:prSet/>
      <dgm:spPr/>
      <dgm:t>
        <a:bodyPr/>
        <a:lstStyle/>
        <a:p>
          <a:endParaRPr lang="en-GB"/>
        </a:p>
      </dgm:t>
    </dgm:pt>
    <dgm:pt modelId="{73EC455C-D06F-4560-B25D-BC923A4F40C9}">
      <dgm:prSet phldrT="[Text]"/>
      <dgm:spPr/>
      <dgm:t>
        <a:bodyPr/>
        <a:lstStyle/>
        <a:p>
          <a:r>
            <a:rPr lang="en-US" i="1" dirty="0"/>
            <a:t>Bacillus </a:t>
          </a:r>
          <a:r>
            <a:rPr lang="en-US" i="1" dirty="0" err="1"/>
            <a:t>subtilis</a:t>
          </a:r>
          <a:endParaRPr lang="en-GB" dirty="0"/>
        </a:p>
      </dgm:t>
    </dgm:pt>
    <dgm:pt modelId="{0C35B8AE-2C19-447E-8509-DDB0BC2EC18E}" type="parTrans" cxnId="{46ECF37C-D4E6-4D9A-B36C-AE207F816C9E}">
      <dgm:prSet/>
      <dgm:spPr/>
      <dgm:t>
        <a:bodyPr/>
        <a:lstStyle/>
        <a:p>
          <a:endParaRPr lang="en-GB"/>
        </a:p>
      </dgm:t>
    </dgm:pt>
    <dgm:pt modelId="{DE6497B5-3B8F-45E9-A5C0-9CDA23BF4E56}" type="sibTrans" cxnId="{46ECF37C-D4E6-4D9A-B36C-AE207F816C9E}">
      <dgm:prSet/>
      <dgm:spPr/>
      <dgm:t>
        <a:bodyPr/>
        <a:lstStyle/>
        <a:p>
          <a:endParaRPr lang="en-GB"/>
        </a:p>
      </dgm:t>
    </dgm:pt>
    <dgm:pt modelId="{2686A38B-0B26-41C3-8080-E588B0BE470D}" type="pres">
      <dgm:prSet presAssocID="{543895DA-89B3-4E1E-A5BD-DB438BFDDC40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en-GB"/>
        </a:p>
      </dgm:t>
    </dgm:pt>
    <dgm:pt modelId="{5CC7B314-7AAF-4643-8D13-94FEC7336F04}" type="pres">
      <dgm:prSet presAssocID="{928CD3A7-EAC9-47D3-8A6D-72A1D82E1561}" presName="root1" presStyleCnt="0"/>
      <dgm:spPr/>
    </dgm:pt>
    <dgm:pt modelId="{0078F0C4-F941-43E3-8495-A6CF164AAB3A}" type="pres">
      <dgm:prSet presAssocID="{928CD3A7-EAC9-47D3-8A6D-72A1D82E1561}" presName="LevelOneTextNode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en-GB"/>
        </a:p>
      </dgm:t>
    </dgm:pt>
    <dgm:pt modelId="{3A88BAF3-04EF-4D23-872F-47C0E01B477E}" type="pres">
      <dgm:prSet presAssocID="{928CD3A7-EAC9-47D3-8A6D-72A1D82E1561}" presName="level2hierChild" presStyleCnt="0"/>
      <dgm:spPr/>
    </dgm:pt>
    <dgm:pt modelId="{572E6685-22E1-4F1B-8346-F81F5AF37F62}" type="pres">
      <dgm:prSet presAssocID="{C6FAB171-AB8C-4FFB-8B36-3DED202365A1}" presName="conn2-1" presStyleLbl="parChTrans1D2" presStyleIdx="0" presStyleCnt="4"/>
      <dgm:spPr/>
      <dgm:t>
        <a:bodyPr/>
        <a:lstStyle/>
        <a:p>
          <a:endParaRPr lang="en-GB"/>
        </a:p>
      </dgm:t>
    </dgm:pt>
    <dgm:pt modelId="{70559122-A9EE-4810-AC49-21569D7BBC46}" type="pres">
      <dgm:prSet presAssocID="{C6FAB171-AB8C-4FFB-8B36-3DED202365A1}" presName="connTx" presStyleLbl="parChTrans1D2" presStyleIdx="0" presStyleCnt="4"/>
      <dgm:spPr/>
      <dgm:t>
        <a:bodyPr/>
        <a:lstStyle/>
        <a:p>
          <a:endParaRPr lang="en-GB"/>
        </a:p>
      </dgm:t>
    </dgm:pt>
    <dgm:pt modelId="{F25323FB-DA71-4FDA-812E-77BB34F87206}" type="pres">
      <dgm:prSet presAssocID="{8895DB36-9FDB-4887-95D3-885820266794}" presName="root2" presStyleCnt="0"/>
      <dgm:spPr/>
    </dgm:pt>
    <dgm:pt modelId="{FEE0883D-3D78-40BD-A3AD-A650DE1DD3B1}" type="pres">
      <dgm:prSet presAssocID="{8895DB36-9FDB-4887-95D3-885820266794}" presName="LevelTwoTextNode" presStyleLbl="node2" presStyleIdx="0" presStyleCnt="4" custScaleX="132253" custScaleY="97182">
        <dgm:presLayoutVars>
          <dgm:chPref val="3"/>
        </dgm:presLayoutVars>
      </dgm:prSet>
      <dgm:spPr/>
      <dgm:t>
        <a:bodyPr/>
        <a:lstStyle/>
        <a:p>
          <a:endParaRPr lang="en-GB"/>
        </a:p>
      </dgm:t>
    </dgm:pt>
    <dgm:pt modelId="{025BEB3A-DE1E-4767-8CE0-F1F52763EB73}" type="pres">
      <dgm:prSet presAssocID="{8895DB36-9FDB-4887-95D3-885820266794}" presName="level3hierChild" presStyleCnt="0"/>
      <dgm:spPr/>
    </dgm:pt>
    <dgm:pt modelId="{28A3F8E4-7F99-419B-8E54-BA30A81A8071}" type="pres">
      <dgm:prSet presAssocID="{0C35B8AE-2C19-447E-8509-DDB0BC2EC18E}" presName="conn2-1" presStyleLbl="parChTrans1D2" presStyleIdx="1" presStyleCnt="4"/>
      <dgm:spPr/>
      <dgm:t>
        <a:bodyPr/>
        <a:lstStyle/>
        <a:p>
          <a:endParaRPr lang="en-GB"/>
        </a:p>
      </dgm:t>
    </dgm:pt>
    <dgm:pt modelId="{F949312F-7BBC-4A75-94EC-8A332BFEF82E}" type="pres">
      <dgm:prSet presAssocID="{0C35B8AE-2C19-447E-8509-DDB0BC2EC18E}" presName="connTx" presStyleLbl="parChTrans1D2" presStyleIdx="1" presStyleCnt="4"/>
      <dgm:spPr/>
      <dgm:t>
        <a:bodyPr/>
        <a:lstStyle/>
        <a:p>
          <a:endParaRPr lang="en-GB"/>
        </a:p>
      </dgm:t>
    </dgm:pt>
    <dgm:pt modelId="{518C1A99-9EFB-4C84-89D8-2A027A1364B4}" type="pres">
      <dgm:prSet presAssocID="{73EC455C-D06F-4560-B25D-BC923A4F40C9}" presName="root2" presStyleCnt="0"/>
      <dgm:spPr/>
    </dgm:pt>
    <dgm:pt modelId="{AA907491-02CA-46BD-9E35-12128362D264}" type="pres">
      <dgm:prSet presAssocID="{73EC455C-D06F-4560-B25D-BC923A4F40C9}" presName="LevelTwoTextNode" presStyleLbl="node2" presStyleIdx="1" presStyleCnt="4" custScaleX="132253" custScaleY="97182" custLinFactY="39166" custLinFactNeighborX="-1071" custLinFactNeighborY="100000">
        <dgm:presLayoutVars>
          <dgm:chPref val="3"/>
        </dgm:presLayoutVars>
      </dgm:prSet>
      <dgm:spPr/>
      <dgm:t>
        <a:bodyPr/>
        <a:lstStyle/>
        <a:p>
          <a:endParaRPr lang="en-GB"/>
        </a:p>
      </dgm:t>
    </dgm:pt>
    <dgm:pt modelId="{619387BF-DF4D-41CD-BD41-D7628CBE5513}" type="pres">
      <dgm:prSet presAssocID="{73EC455C-D06F-4560-B25D-BC923A4F40C9}" presName="level3hierChild" presStyleCnt="0"/>
      <dgm:spPr/>
    </dgm:pt>
    <dgm:pt modelId="{20FF8952-26D1-4021-B9FE-0C3FDBBDE4B0}" type="pres">
      <dgm:prSet presAssocID="{EBB7B150-999F-4CF8-A601-33C842C715B5}" presName="conn2-1" presStyleLbl="parChTrans1D2" presStyleIdx="2" presStyleCnt="4"/>
      <dgm:spPr/>
      <dgm:t>
        <a:bodyPr/>
        <a:lstStyle/>
        <a:p>
          <a:endParaRPr lang="en-GB"/>
        </a:p>
      </dgm:t>
    </dgm:pt>
    <dgm:pt modelId="{97CD34B8-F5C7-47D6-B45F-306307F4C197}" type="pres">
      <dgm:prSet presAssocID="{EBB7B150-999F-4CF8-A601-33C842C715B5}" presName="connTx" presStyleLbl="parChTrans1D2" presStyleIdx="2" presStyleCnt="4"/>
      <dgm:spPr/>
      <dgm:t>
        <a:bodyPr/>
        <a:lstStyle/>
        <a:p>
          <a:endParaRPr lang="en-GB"/>
        </a:p>
      </dgm:t>
    </dgm:pt>
    <dgm:pt modelId="{3562B79A-B90C-4875-8FB9-E504BEDF27E6}" type="pres">
      <dgm:prSet presAssocID="{13D6331B-EDA2-4811-867B-B0FD1D1FC464}" presName="root2" presStyleCnt="0"/>
      <dgm:spPr/>
    </dgm:pt>
    <dgm:pt modelId="{73CC2517-A548-42F6-B36C-7CD5D62E9118}" type="pres">
      <dgm:prSet presAssocID="{13D6331B-EDA2-4811-867B-B0FD1D1FC464}" presName="LevelTwoTextNode" presStyleLbl="node2" presStyleIdx="2" presStyleCnt="4" custScaleX="133324" custScaleY="116145" custLinFactY="-29705" custLinFactNeighborX="-1072" custLinFactNeighborY="-100000">
        <dgm:presLayoutVars>
          <dgm:chPref val="3"/>
        </dgm:presLayoutVars>
      </dgm:prSet>
      <dgm:spPr/>
      <dgm:t>
        <a:bodyPr/>
        <a:lstStyle/>
        <a:p>
          <a:endParaRPr lang="en-GB"/>
        </a:p>
      </dgm:t>
    </dgm:pt>
    <dgm:pt modelId="{1FB69570-56F1-47D2-AD78-79B0520B5F89}" type="pres">
      <dgm:prSet presAssocID="{13D6331B-EDA2-4811-867B-B0FD1D1FC464}" presName="level3hierChild" presStyleCnt="0"/>
      <dgm:spPr/>
    </dgm:pt>
    <dgm:pt modelId="{E5C9BEF9-2B29-4590-B5AB-123A4DA66120}" type="pres">
      <dgm:prSet presAssocID="{F91B2292-D984-4AC4-9D56-72A4AA3ED533}" presName="conn2-1" presStyleLbl="parChTrans1D2" presStyleIdx="3" presStyleCnt="4"/>
      <dgm:spPr/>
      <dgm:t>
        <a:bodyPr/>
        <a:lstStyle/>
        <a:p>
          <a:endParaRPr lang="en-GB"/>
        </a:p>
      </dgm:t>
    </dgm:pt>
    <dgm:pt modelId="{06D074B2-1A39-4958-B2D0-98D214C87E59}" type="pres">
      <dgm:prSet presAssocID="{F91B2292-D984-4AC4-9D56-72A4AA3ED533}" presName="connTx" presStyleLbl="parChTrans1D2" presStyleIdx="3" presStyleCnt="4"/>
      <dgm:spPr/>
      <dgm:t>
        <a:bodyPr/>
        <a:lstStyle/>
        <a:p>
          <a:endParaRPr lang="en-GB"/>
        </a:p>
      </dgm:t>
    </dgm:pt>
    <dgm:pt modelId="{B430BE8C-5B4A-488B-8DBA-3C81EB871F8C}" type="pres">
      <dgm:prSet presAssocID="{5CF04A30-08B4-4BEF-B93A-E0FD81EBFB1F}" presName="root2" presStyleCnt="0"/>
      <dgm:spPr/>
    </dgm:pt>
    <dgm:pt modelId="{FE7A2DDB-3F3B-4763-BA93-8DD05AE5137B}" type="pres">
      <dgm:prSet presAssocID="{5CF04A30-08B4-4BEF-B93A-E0FD81EBFB1F}" presName="LevelTwoTextNode" presStyleLbl="node2" presStyleIdx="3" presStyleCnt="4" custScaleX="133324" custScaleY="112259">
        <dgm:presLayoutVars>
          <dgm:chPref val="3"/>
        </dgm:presLayoutVars>
      </dgm:prSet>
      <dgm:spPr/>
      <dgm:t>
        <a:bodyPr/>
        <a:lstStyle/>
        <a:p>
          <a:endParaRPr lang="en-GB"/>
        </a:p>
      </dgm:t>
    </dgm:pt>
    <dgm:pt modelId="{A384A523-67A3-432E-B57B-E22CE6C3D15E}" type="pres">
      <dgm:prSet presAssocID="{5CF04A30-08B4-4BEF-B93A-E0FD81EBFB1F}" presName="level3hierChild" presStyleCnt="0"/>
      <dgm:spPr/>
    </dgm:pt>
  </dgm:ptLst>
  <dgm:cxnLst>
    <dgm:cxn modelId="{280FE726-9566-4420-8571-04AAF29E4BE6}" type="presOf" srcId="{543895DA-89B3-4E1E-A5BD-DB438BFDDC40}" destId="{2686A38B-0B26-41C3-8080-E588B0BE470D}" srcOrd="0" destOrd="0" presId="urn:microsoft.com/office/officeart/2008/layout/HorizontalMultiLevelHierarchy"/>
    <dgm:cxn modelId="{536EF826-35A8-42B2-8420-9EEFD2CE3850}" type="presOf" srcId="{5CF04A30-08B4-4BEF-B93A-E0FD81EBFB1F}" destId="{FE7A2DDB-3F3B-4763-BA93-8DD05AE5137B}" srcOrd="0" destOrd="0" presId="urn:microsoft.com/office/officeart/2008/layout/HorizontalMultiLevelHierarchy"/>
    <dgm:cxn modelId="{9039DEAD-A1ED-4C52-BEB4-6C733AF7766E}" type="presOf" srcId="{928CD3A7-EAC9-47D3-8A6D-72A1D82E1561}" destId="{0078F0C4-F941-43E3-8495-A6CF164AAB3A}" srcOrd="0" destOrd="0" presId="urn:microsoft.com/office/officeart/2008/layout/HorizontalMultiLevelHierarchy"/>
    <dgm:cxn modelId="{564CB317-7D99-4E8B-A1F0-5777C9580D49}" type="presOf" srcId="{F91B2292-D984-4AC4-9D56-72A4AA3ED533}" destId="{06D074B2-1A39-4958-B2D0-98D214C87E59}" srcOrd="1" destOrd="0" presId="urn:microsoft.com/office/officeart/2008/layout/HorizontalMultiLevelHierarchy"/>
    <dgm:cxn modelId="{4214994F-75C2-4F8C-A53A-BF874E488BC5}" srcId="{928CD3A7-EAC9-47D3-8A6D-72A1D82E1561}" destId="{13D6331B-EDA2-4811-867B-B0FD1D1FC464}" srcOrd="2" destOrd="0" parTransId="{EBB7B150-999F-4CF8-A601-33C842C715B5}" sibTransId="{D122A3AC-4560-4699-9083-ED05CEDFF019}"/>
    <dgm:cxn modelId="{0EC80E2E-7566-468B-AB13-483DC34D6F3C}" type="presOf" srcId="{EBB7B150-999F-4CF8-A601-33C842C715B5}" destId="{20FF8952-26D1-4021-B9FE-0C3FDBBDE4B0}" srcOrd="0" destOrd="0" presId="urn:microsoft.com/office/officeart/2008/layout/HorizontalMultiLevelHierarchy"/>
    <dgm:cxn modelId="{7F89F54A-F89A-4EA3-9918-6D60B3D37C34}" type="presOf" srcId="{0C35B8AE-2C19-447E-8509-DDB0BC2EC18E}" destId="{28A3F8E4-7F99-419B-8E54-BA30A81A8071}" srcOrd="0" destOrd="0" presId="urn:microsoft.com/office/officeart/2008/layout/HorizontalMultiLevelHierarchy"/>
    <dgm:cxn modelId="{B7865FEB-729A-4C29-9659-9A89E263371A}" srcId="{928CD3A7-EAC9-47D3-8A6D-72A1D82E1561}" destId="{8895DB36-9FDB-4887-95D3-885820266794}" srcOrd="0" destOrd="0" parTransId="{C6FAB171-AB8C-4FFB-8B36-3DED202365A1}" sibTransId="{70554A27-7616-49BB-BF2A-81B8F20BE62D}"/>
    <dgm:cxn modelId="{AD56A208-0149-495D-8BD2-8E5916FEFF78}" type="presOf" srcId="{C6FAB171-AB8C-4FFB-8B36-3DED202365A1}" destId="{572E6685-22E1-4F1B-8346-F81F5AF37F62}" srcOrd="0" destOrd="0" presId="urn:microsoft.com/office/officeart/2008/layout/HorizontalMultiLevelHierarchy"/>
    <dgm:cxn modelId="{46ECF37C-D4E6-4D9A-B36C-AE207F816C9E}" srcId="{928CD3A7-EAC9-47D3-8A6D-72A1D82E1561}" destId="{73EC455C-D06F-4560-B25D-BC923A4F40C9}" srcOrd="1" destOrd="0" parTransId="{0C35B8AE-2C19-447E-8509-DDB0BC2EC18E}" sibTransId="{DE6497B5-3B8F-45E9-A5C0-9CDA23BF4E56}"/>
    <dgm:cxn modelId="{4F3CF730-99F8-4160-A79A-1ABCF19FBA4D}" type="presOf" srcId="{0C35B8AE-2C19-447E-8509-DDB0BC2EC18E}" destId="{F949312F-7BBC-4A75-94EC-8A332BFEF82E}" srcOrd="1" destOrd="0" presId="urn:microsoft.com/office/officeart/2008/layout/HorizontalMultiLevelHierarchy"/>
    <dgm:cxn modelId="{64B57A80-C6E5-4904-98BD-FE3A8CFCDAF9}" srcId="{928CD3A7-EAC9-47D3-8A6D-72A1D82E1561}" destId="{5CF04A30-08B4-4BEF-B93A-E0FD81EBFB1F}" srcOrd="3" destOrd="0" parTransId="{F91B2292-D984-4AC4-9D56-72A4AA3ED533}" sibTransId="{6123AEC8-AB4B-4716-8F17-6B849775404E}"/>
    <dgm:cxn modelId="{879FC85E-AF60-4597-B3FC-291DA063370B}" srcId="{543895DA-89B3-4E1E-A5BD-DB438BFDDC40}" destId="{928CD3A7-EAC9-47D3-8A6D-72A1D82E1561}" srcOrd="0" destOrd="0" parTransId="{DEB5B5EC-BF8D-417B-B6E7-3BA9FE51967C}" sibTransId="{94F47D6F-7B29-4E96-8CFF-5CCC179B32F6}"/>
    <dgm:cxn modelId="{79B1D71A-BDE0-4EC8-8E0B-3AF0DC314649}" type="presOf" srcId="{EBB7B150-999F-4CF8-A601-33C842C715B5}" destId="{97CD34B8-F5C7-47D6-B45F-306307F4C197}" srcOrd="1" destOrd="0" presId="urn:microsoft.com/office/officeart/2008/layout/HorizontalMultiLevelHierarchy"/>
    <dgm:cxn modelId="{095D7E97-7A67-4100-AFE5-F0F3801E017E}" type="presOf" srcId="{8895DB36-9FDB-4887-95D3-885820266794}" destId="{FEE0883D-3D78-40BD-A3AD-A650DE1DD3B1}" srcOrd="0" destOrd="0" presId="urn:microsoft.com/office/officeart/2008/layout/HorizontalMultiLevelHierarchy"/>
    <dgm:cxn modelId="{F2220016-3561-47B7-A441-36E79FC97962}" type="presOf" srcId="{73EC455C-D06F-4560-B25D-BC923A4F40C9}" destId="{AA907491-02CA-46BD-9E35-12128362D264}" srcOrd="0" destOrd="0" presId="urn:microsoft.com/office/officeart/2008/layout/HorizontalMultiLevelHierarchy"/>
    <dgm:cxn modelId="{A7DAB95A-9387-496E-A6B5-10ABD1114759}" type="presOf" srcId="{C6FAB171-AB8C-4FFB-8B36-3DED202365A1}" destId="{70559122-A9EE-4810-AC49-21569D7BBC46}" srcOrd="1" destOrd="0" presId="urn:microsoft.com/office/officeart/2008/layout/HorizontalMultiLevelHierarchy"/>
    <dgm:cxn modelId="{7AE2439F-A77F-4396-A4D2-A36E2F3A2694}" type="presOf" srcId="{F91B2292-D984-4AC4-9D56-72A4AA3ED533}" destId="{E5C9BEF9-2B29-4590-B5AB-123A4DA66120}" srcOrd="0" destOrd="0" presId="urn:microsoft.com/office/officeart/2008/layout/HorizontalMultiLevelHierarchy"/>
    <dgm:cxn modelId="{F2AE0557-0594-4C47-B8AE-EB7D2169F4EE}" type="presOf" srcId="{13D6331B-EDA2-4811-867B-B0FD1D1FC464}" destId="{73CC2517-A548-42F6-B36C-7CD5D62E9118}" srcOrd="0" destOrd="0" presId="urn:microsoft.com/office/officeart/2008/layout/HorizontalMultiLevelHierarchy"/>
    <dgm:cxn modelId="{D4197369-EA2E-4835-841A-D1981F65E30B}" type="presParOf" srcId="{2686A38B-0B26-41C3-8080-E588B0BE470D}" destId="{5CC7B314-7AAF-4643-8D13-94FEC7336F04}" srcOrd="0" destOrd="0" presId="urn:microsoft.com/office/officeart/2008/layout/HorizontalMultiLevelHierarchy"/>
    <dgm:cxn modelId="{28124AE7-0E1D-4D51-A8F0-B5930F5A84BE}" type="presParOf" srcId="{5CC7B314-7AAF-4643-8D13-94FEC7336F04}" destId="{0078F0C4-F941-43E3-8495-A6CF164AAB3A}" srcOrd="0" destOrd="0" presId="urn:microsoft.com/office/officeart/2008/layout/HorizontalMultiLevelHierarchy"/>
    <dgm:cxn modelId="{852108AA-3ED4-482F-A672-6EC8FFA45F9D}" type="presParOf" srcId="{5CC7B314-7AAF-4643-8D13-94FEC7336F04}" destId="{3A88BAF3-04EF-4D23-872F-47C0E01B477E}" srcOrd="1" destOrd="0" presId="urn:microsoft.com/office/officeart/2008/layout/HorizontalMultiLevelHierarchy"/>
    <dgm:cxn modelId="{A889139B-F4C4-4B27-8287-A84D8EB1D595}" type="presParOf" srcId="{3A88BAF3-04EF-4D23-872F-47C0E01B477E}" destId="{572E6685-22E1-4F1B-8346-F81F5AF37F62}" srcOrd="0" destOrd="0" presId="urn:microsoft.com/office/officeart/2008/layout/HorizontalMultiLevelHierarchy"/>
    <dgm:cxn modelId="{EFD4E732-FCD3-48EF-BA2B-FFC6DBCD739E}" type="presParOf" srcId="{572E6685-22E1-4F1B-8346-F81F5AF37F62}" destId="{70559122-A9EE-4810-AC49-21569D7BBC46}" srcOrd="0" destOrd="0" presId="urn:microsoft.com/office/officeart/2008/layout/HorizontalMultiLevelHierarchy"/>
    <dgm:cxn modelId="{547E55B6-7602-4375-9A38-C5D6F957FD44}" type="presParOf" srcId="{3A88BAF3-04EF-4D23-872F-47C0E01B477E}" destId="{F25323FB-DA71-4FDA-812E-77BB34F87206}" srcOrd="1" destOrd="0" presId="urn:microsoft.com/office/officeart/2008/layout/HorizontalMultiLevelHierarchy"/>
    <dgm:cxn modelId="{D6DD64F8-34F8-4ACE-A555-724B9495359E}" type="presParOf" srcId="{F25323FB-DA71-4FDA-812E-77BB34F87206}" destId="{FEE0883D-3D78-40BD-A3AD-A650DE1DD3B1}" srcOrd="0" destOrd="0" presId="urn:microsoft.com/office/officeart/2008/layout/HorizontalMultiLevelHierarchy"/>
    <dgm:cxn modelId="{A27091C4-972D-4805-BED1-6580BD144054}" type="presParOf" srcId="{F25323FB-DA71-4FDA-812E-77BB34F87206}" destId="{025BEB3A-DE1E-4767-8CE0-F1F52763EB73}" srcOrd="1" destOrd="0" presId="urn:microsoft.com/office/officeart/2008/layout/HorizontalMultiLevelHierarchy"/>
    <dgm:cxn modelId="{2DF4BD5C-77F8-43AF-8B18-9F4C6F175A7A}" type="presParOf" srcId="{3A88BAF3-04EF-4D23-872F-47C0E01B477E}" destId="{28A3F8E4-7F99-419B-8E54-BA30A81A8071}" srcOrd="2" destOrd="0" presId="urn:microsoft.com/office/officeart/2008/layout/HorizontalMultiLevelHierarchy"/>
    <dgm:cxn modelId="{5983107A-4925-446A-823C-9AABE19BE82C}" type="presParOf" srcId="{28A3F8E4-7F99-419B-8E54-BA30A81A8071}" destId="{F949312F-7BBC-4A75-94EC-8A332BFEF82E}" srcOrd="0" destOrd="0" presId="urn:microsoft.com/office/officeart/2008/layout/HorizontalMultiLevelHierarchy"/>
    <dgm:cxn modelId="{656E0696-7E8B-4B9E-8941-774AB914600B}" type="presParOf" srcId="{3A88BAF3-04EF-4D23-872F-47C0E01B477E}" destId="{518C1A99-9EFB-4C84-89D8-2A027A1364B4}" srcOrd="3" destOrd="0" presId="urn:microsoft.com/office/officeart/2008/layout/HorizontalMultiLevelHierarchy"/>
    <dgm:cxn modelId="{9610A32E-EFB3-4501-B804-C51AB91E84A9}" type="presParOf" srcId="{518C1A99-9EFB-4C84-89D8-2A027A1364B4}" destId="{AA907491-02CA-46BD-9E35-12128362D264}" srcOrd="0" destOrd="0" presId="urn:microsoft.com/office/officeart/2008/layout/HorizontalMultiLevelHierarchy"/>
    <dgm:cxn modelId="{C5E77E08-BEC8-4DAD-BBDE-A17492777043}" type="presParOf" srcId="{518C1A99-9EFB-4C84-89D8-2A027A1364B4}" destId="{619387BF-DF4D-41CD-BD41-D7628CBE5513}" srcOrd="1" destOrd="0" presId="urn:microsoft.com/office/officeart/2008/layout/HorizontalMultiLevelHierarchy"/>
    <dgm:cxn modelId="{C7739C68-B468-485D-8BCD-098A3415BB5A}" type="presParOf" srcId="{3A88BAF3-04EF-4D23-872F-47C0E01B477E}" destId="{20FF8952-26D1-4021-B9FE-0C3FDBBDE4B0}" srcOrd="4" destOrd="0" presId="urn:microsoft.com/office/officeart/2008/layout/HorizontalMultiLevelHierarchy"/>
    <dgm:cxn modelId="{F5B62B18-87ED-4A96-9C07-9689BA96FC73}" type="presParOf" srcId="{20FF8952-26D1-4021-B9FE-0C3FDBBDE4B0}" destId="{97CD34B8-F5C7-47D6-B45F-306307F4C197}" srcOrd="0" destOrd="0" presId="urn:microsoft.com/office/officeart/2008/layout/HorizontalMultiLevelHierarchy"/>
    <dgm:cxn modelId="{A5125E4C-9C24-40FE-9660-AC44F252DCC5}" type="presParOf" srcId="{3A88BAF3-04EF-4D23-872F-47C0E01B477E}" destId="{3562B79A-B90C-4875-8FB9-E504BEDF27E6}" srcOrd="5" destOrd="0" presId="urn:microsoft.com/office/officeart/2008/layout/HorizontalMultiLevelHierarchy"/>
    <dgm:cxn modelId="{D4454923-162C-4967-8F60-4C8157C871B3}" type="presParOf" srcId="{3562B79A-B90C-4875-8FB9-E504BEDF27E6}" destId="{73CC2517-A548-42F6-B36C-7CD5D62E9118}" srcOrd="0" destOrd="0" presId="urn:microsoft.com/office/officeart/2008/layout/HorizontalMultiLevelHierarchy"/>
    <dgm:cxn modelId="{2B026E7C-3DE3-4CFA-B64E-50FD7E122FFA}" type="presParOf" srcId="{3562B79A-B90C-4875-8FB9-E504BEDF27E6}" destId="{1FB69570-56F1-47D2-AD78-79B0520B5F89}" srcOrd="1" destOrd="0" presId="urn:microsoft.com/office/officeart/2008/layout/HorizontalMultiLevelHierarchy"/>
    <dgm:cxn modelId="{F0BD8214-D234-4FF2-902D-AB2FAE24DA53}" type="presParOf" srcId="{3A88BAF3-04EF-4D23-872F-47C0E01B477E}" destId="{E5C9BEF9-2B29-4590-B5AB-123A4DA66120}" srcOrd="6" destOrd="0" presId="urn:microsoft.com/office/officeart/2008/layout/HorizontalMultiLevelHierarchy"/>
    <dgm:cxn modelId="{54B22D29-EAFD-4D54-96CB-3527806DE342}" type="presParOf" srcId="{E5C9BEF9-2B29-4590-B5AB-123A4DA66120}" destId="{06D074B2-1A39-4958-B2D0-98D214C87E59}" srcOrd="0" destOrd="0" presId="urn:microsoft.com/office/officeart/2008/layout/HorizontalMultiLevelHierarchy"/>
    <dgm:cxn modelId="{3F9331E6-B2F5-4279-BCEE-F90E0848AB67}" type="presParOf" srcId="{3A88BAF3-04EF-4D23-872F-47C0E01B477E}" destId="{B430BE8C-5B4A-488B-8DBA-3C81EB871F8C}" srcOrd="7" destOrd="0" presId="urn:microsoft.com/office/officeart/2008/layout/HorizontalMultiLevelHierarchy"/>
    <dgm:cxn modelId="{9717CE25-DF2D-4FC4-8293-89B8F99D6661}" type="presParOf" srcId="{B430BE8C-5B4A-488B-8DBA-3C81EB871F8C}" destId="{FE7A2DDB-3F3B-4763-BA93-8DD05AE5137B}" srcOrd="0" destOrd="0" presId="urn:microsoft.com/office/officeart/2008/layout/HorizontalMultiLevelHierarchy"/>
    <dgm:cxn modelId="{4212503F-6137-4B95-B637-C5CA17E8A213}" type="presParOf" srcId="{B430BE8C-5B4A-488B-8DBA-3C81EB871F8C}" destId="{A384A523-67A3-432E-B57B-E22CE6C3D15E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5C9BEF9-2B29-4590-B5AB-123A4DA66120}">
      <dsp:nvSpPr>
        <dsp:cNvPr id="0" name=""/>
        <dsp:cNvSpPr/>
      </dsp:nvSpPr>
      <dsp:spPr>
        <a:xfrm>
          <a:off x="174063" y="864870"/>
          <a:ext cx="114113" cy="33530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57056" y="0"/>
              </a:lnTo>
              <a:lnTo>
                <a:pt x="57056" y="335303"/>
              </a:lnTo>
              <a:lnTo>
                <a:pt x="114113" y="335303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222265" y="1023667"/>
        <a:ext cx="17709" cy="17709"/>
      </dsp:txXfrm>
    </dsp:sp>
    <dsp:sp modelId="{20FF8952-26D1-4021-B9FE-0C3FDBBDE4B0}">
      <dsp:nvSpPr>
        <dsp:cNvPr id="0" name=""/>
        <dsp:cNvSpPr/>
      </dsp:nvSpPr>
      <dsp:spPr>
        <a:xfrm>
          <a:off x="174063" y="732399"/>
          <a:ext cx="107997" cy="132470"/>
        </a:xfrm>
        <a:custGeom>
          <a:avLst/>
          <a:gdLst/>
          <a:ahLst/>
          <a:cxnLst/>
          <a:rect l="0" t="0" r="0" b="0"/>
          <a:pathLst>
            <a:path>
              <a:moveTo>
                <a:pt x="0" y="132470"/>
              </a:moveTo>
              <a:lnTo>
                <a:pt x="53998" y="132470"/>
              </a:lnTo>
              <a:lnTo>
                <a:pt x="53998" y="0"/>
              </a:lnTo>
              <a:lnTo>
                <a:pt x="107997" y="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223789" y="794362"/>
        <a:ext cx="8545" cy="8545"/>
      </dsp:txXfrm>
    </dsp:sp>
    <dsp:sp modelId="{28A3F8E4-7F99-419B-8E54-BA30A81A8071}">
      <dsp:nvSpPr>
        <dsp:cNvPr id="0" name=""/>
        <dsp:cNvSpPr/>
      </dsp:nvSpPr>
      <dsp:spPr>
        <a:xfrm>
          <a:off x="174063" y="864870"/>
          <a:ext cx="108002" cy="1062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54001" y="0"/>
              </a:lnTo>
              <a:lnTo>
                <a:pt x="54001" y="106207"/>
              </a:lnTo>
              <a:lnTo>
                <a:pt x="108002" y="10620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224277" y="914186"/>
        <a:ext cx="7573" cy="7573"/>
      </dsp:txXfrm>
    </dsp:sp>
    <dsp:sp modelId="{572E6685-22E1-4F1B-8346-F81F5AF37F62}">
      <dsp:nvSpPr>
        <dsp:cNvPr id="0" name=""/>
        <dsp:cNvSpPr/>
      </dsp:nvSpPr>
      <dsp:spPr>
        <a:xfrm>
          <a:off x="174063" y="516452"/>
          <a:ext cx="114113" cy="348417"/>
        </a:xfrm>
        <a:custGeom>
          <a:avLst/>
          <a:gdLst/>
          <a:ahLst/>
          <a:cxnLst/>
          <a:rect l="0" t="0" r="0" b="0"/>
          <a:pathLst>
            <a:path>
              <a:moveTo>
                <a:pt x="0" y="348417"/>
              </a:moveTo>
              <a:lnTo>
                <a:pt x="57056" y="348417"/>
              </a:lnTo>
              <a:lnTo>
                <a:pt x="57056" y="0"/>
              </a:lnTo>
              <a:lnTo>
                <a:pt x="114113" y="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500" kern="1200"/>
        </a:p>
      </dsp:txBody>
      <dsp:txXfrm>
        <a:off x="221954" y="681495"/>
        <a:ext cx="18331" cy="18331"/>
      </dsp:txXfrm>
    </dsp:sp>
    <dsp:sp modelId="{0078F0C4-F941-43E3-8495-A6CF164AAB3A}">
      <dsp:nvSpPr>
        <dsp:cNvPr id="0" name=""/>
        <dsp:cNvSpPr/>
      </dsp:nvSpPr>
      <dsp:spPr>
        <a:xfrm rot="16200000">
          <a:off x="-370686" y="777893"/>
          <a:ext cx="915545" cy="17395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 dirty="0"/>
            <a:t>MTT Assay</a:t>
          </a:r>
          <a:endParaRPr lang="en-GB" sz="1100" kern="1200" dirty="0"/>
        </a:p>
      </dsp:txBody>
      <dsp:txXfrm>
        <a:off x="-370686" y="777893"/>
        <a:ext cx="915545" cy="173953"/>
      </dsp:txXfrm>
    </dsp:sp>
    <dsp:sp modelId="{FEE0883D-3D78-40BD-A3AD-A650DE1DD3B1}">
      <dsp:nvSpPr>
        <dsp:cNvPr id="0" name=""/>
        <dsp:cNvSpPr/>
      </dsp:nvSpPr>
      <dsp:spPr>
        <a:xfrm>
          <a:off x="288176" y="431926"/>
          <a:ext cx="754593" cy="16905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i="1" kern="1200" dirty="0"/>
            <a:t>Escherichia coli</a:t>
          </a:r>
          <a:r>
            <a:rPr lang="en-US" sz="500" kern="1200" dirty="0"/>
            <a:t> </a:t>
          </a:r>
          <a:endParaRPr lang="en-GB" sz="500" kern="1200" dirty="0"/>
        </a:p>
      </dsp:txBody>
      <dsp:txXfrm>
        <a:off x="288176" y="431926"/>
        <a:ext cx="754593" cy="169051"/>
      </dsp:txXfrm>
    </dsp:sp>
    <dsp:sp modelId="{AA907491-02CA-46BD-9E35-12128362D264}">
      <dsp:nvSpPr>
        <dsp:cNvPr id="0" name=""/>
        <dsp:cNvSpPr/>
      </dsp:nvSpPr>
      <dsp:spPr>
        <a:xfrm>
          <a:off x="282066" y="886551"/>
          <a:ext cx="754593" cy="16905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i="1" kern="1200" dirty="0"/>
            <a:t>Bacillus </a:t>
          </a:r>
          <a:r>
            <a:rPr lang="en-US" sz="500" i="1" kern="1200" dirty="0" err="1"/>
            <a:t>subtilis</a:t>
          </a:r>
          <a:endParaRPr lang="en-GB" sz="500" kern="1200" dirty="0"/>
        </a:p>
      </dsp:txBody>
      <dsp:txXfrm>
        <a:off x="282066" y="886551"/>
        <a:ext cx="754593" cy="169051"/>
      </dsp:txXfrm>
    </dsp:sp>
    <dsp:sp modelId="{73CC2517-A548-42F6-B36C-7CD5D62E9118}">
      <dsp:nvSpPr>
        <dsp:cNvPr id="0" name=""/>
        <dsp:cNvSpPr/>
      </dsp:nvSpPr>
      <dsp:spPr>
        <a:xfrm>
          <a:off x="282060" y="631380"/>
          <a:ext cx="760704" cy="20203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i="1" kern="1200" dirty="0"/>
            <a:t>Pseudomonas </a:t>
          </a:r>
          <a:r>
            <a:rPr lang="en-US" sz="500" i="1" kern="1200" dirty="0" err="1"/>
            <a:t>aeruginosa</a:t>
          </a:r>
          <a:r>
            <a:rPr lang="en-US" sz="500" i="1" kern="1200" dirty="0"/>
            <a:t> </a:t>
          </a:r>
          <a:endParaRPr lang="en-GB" sz="500" kern="1200" dirty="0"/>
        </a:p>
      </dsp:txBody>
      <dsp:txXfrm>
        <a:off x="282060" y="631380"/>
        <a:ext cx="760704" cy="202038"/>
      </dsp:txXfrm>
    </dsp:sp>
    <dsp:sp modelId="{FE7A2DDB-3F3B-4763-BA93-8DD05AE5137B}">
      <dsp:nvSpPr>
        <dsp:cNvPr id="0" name=""/>
        <dsp:cNvSpPr/>
      </dsp:nvSpPr>
      <dsp:spPr>
        <a:xfrm>
          <a:off x="288176" y="1102534"/>
          <a:ext cx="760704" cy="19527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" tIns="3175" rIns="3175" bIns="3175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i="1" kern="1200" dirty="0"/>
            <a:t>Staphylococcus </a:t>
          </a:r>
          <a:r>
            <a:rPr lang="en-US" sz="500" i="1" kern="1200" dirty="0" err="1"/>
            <a:t>aureus</a:t>
          </a:r>
          <a:r>
            <a:rPr lang="en-US" sz="500" kern="1200" dirty="0"/>
            <a:t> </a:t>
          </a:r>
          <a:endParaRPr lang="en-GB" sz="500" kern="1200" dirty="0"/>
        </a:p>
      </dsp:txBody>
      <dsp:txXfrm>
        <a:off x="288176" y="1102534"/>
        <a:ext cx="760704" cy="19527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181AF83B-3783-435C-B623-EED55C063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IT Division</cp:lastModifiedBy>
  <cp:revision>5</cp:revision>
  <dcterms:created xsi:type="dcterms:W3CDTF">2018-03-14T09:56:00Z</dcterms:created>
  <dcterms:modified xsi:type="dcterms:W3CDTF">2018-03-14T10:09:00Z</dcterms:modified>
</cp:coreProperties>
</file>