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C8352F" w:rsidP="00494130">
      <w:pPr>
        <w:pStyle w:val="Heading1"/>
        <w:spacing w:before="170"/>
        <w:ind w:left="0"/>
      </w:pPr>
      <w:r>
        <w:rPr>
          <w:color w:val="337AB7"/>
        </w:rPr>
        <w:t>Nanoparticle-Infused-Biodegradable-Microneedle Technology for Skin Cancer Treatment</w:t>
      </w:r>
    </w:p>
    <w:p w:rsidR="0032019C" w:rsidRDefault="0032019C" w:rsidP="00973F1E">
      <w:pPr>
        <w:pStyle w:val="BodyText"/>
        <w:spacing w:before="73" w:line="198" w:lineRule="exact"/>
        <w:ind w:right="5987"/>
        <w:rPr>
          <w:rFonts w:ascii="Arial"/>
          <w:u w:val="single"/>
        </w:rPr>
        <w:sectPr w:rsidR="0032019C">
          <w:headerReference w:type="default" r:id="rId8"/>
          <w:footerReference w:type="default" r:id="rId9"/>
          <w:type w:val="continuous"/>
          <w:pgSz w:w="11910" w:h="16840"/>
          <w:pgMar w:top="1740" w:right="600" w:bottom="840" w:left="620" w:header="541" w:footer="642" w:gutter="0"/>
          <w:cols w:space="720"/>
        </w:sectPr>
      </w:pPr>
    </w:p>
    <w:p w:rsidR="00C8352F" w:rsidRDefault="00C8352F" w:rsidP="00973F1E">
      <w:pPr>
        <w:pStyle w:val="BodyText"/>
        <w:spacing w:before="73" w:line="198" w:lineRule="exact"/>
        <w:ind w:right="5987"/>
        <w:rPr>
          <w:rFonts w:ascii="Arial"/>
        </w:rPr>
      </w:pPr>
      <w:r w:rsidRPr="00973F1E">
        <w:rPr>
          <w:rFonts w:ascii="Arial"/>
          <w:u w:val="single"/>
        </w:rPr>
        <w:t xml:space="preserve">Rachel </w:t>
      </w:r>
      <w:proofErr w:type="spellStart"/>
      <w:r w:rsidRPr="00973F1E">
        <w:rPr>
          <w:rFonts w:ascii="Arial"/>
          <w:u w:val="single"/>
        </w:rPr>
        <w:t>Sully</w:t>
      </w:r>
      <w:r w:rsidR="00973F1E" w:rsidRPr="00973F1E">
        <w:rPr>
          <w:rFonts w:ascii="Arial"/>
          <w:vertAlign w:val="superscript"/>
        </w:rPr>
        <w:t>a</w:t>
      </w:r>
      <w:proofErr w:type="spellEnd"/>
      <w:r w:rsidR="005973B9">
        <w:rPr>
          <w:rFonts w:ascii="Arial"/>
        </w:rPr>
        <w:t xml:space="preserve">, </w:t>
      </w:r>
      <w:r w:rsidR="00973F1E">
        <w:rPr>
          <w:rFonts w:ascii="Arial"/>
        </w:rPr>
        <w:t xml:space="preserve">Adrian </w:t>
      </w:r>
      <w:proofErr w:type="spellStart"/>
      <w:r w:rsidR="00973F1E">
        <w:rPr>
          <w:rFonts w:ascii="Arial"/>
        </w:rPr>
        <w:t>Podoleanu</w:t>
      </w:r>
      <w:r w:rsidR="0010665C">
        <w:rPr>
          <w:rFonts w:ascii="Arial"/>
          <w:vertAlign w:val="superscript"/>
        </w:rPr>
        <w:t>b</w:t>
      </w:r>
      <w:proofErr w:type="spellEnd"/>
      <w:r w:rsidR="00973F1E">
        <w:rPr>
          <w:rFonts w:ascii="Arial"/>
        </w:rPr>
        <w:t xml:space="preserve">, Erika </w:t>
      </w:r>
      <w:proofErr w:type="spellStart"/>
      <w:r w:rsidR="00973F1E">
        <w:rPr>
          <w:rFonts w:ascii="Arial"/>
        </w:rPr>
        <w:t>Loizidou</w:t>
      </w:r>
      <w:r w:rsidR="0010665C">
        <w:rPr>
          <w:rFonts w:ascii="Arial"/>
          <w:vertAlign w:val="superscript"/>
        </w:rPr>
        <w:t>c</w:t>
      </w:r>
      <w:bookmarkStart w:id="0" w:name="_GoBack"/>
      <w:bookmarkEnd w:id="0"/>
      <w:proofErr w:type="spellEnd"/>
      <w:r w:rsidR="0032019C">
        <w:rPr>
          <w:rFonts w:ascii="Arial"/>
        </w:rPr>
        <w:t xml:space="preserve"> and </w:t>
      </w:r>
      <w:r w:rsidR="00973F1E">
        <w:rPr>
          <w:rFonts w:ascii="Arial"/>
        </w:rPr>
        <w:t xml:space="preserve">Vladimir </w:t>
      </w:r>
      <w:proofErr w:type="spellStart"/>
      <w:r w:rsidR="00973F1E">
        <w:rPr>
          <w:rFonts w:ascii="Arial"/>
        </w:rPr>
        <w:t>Gubala</w:t>
      </w:r>
      <w:r w:rsidR="00973F1E" w:rsidRPr="00973F1E">
        <w:rPr>
          <w:rFonts w:ascii="Arial"/>
          <w:vertAlign w:val="superscript"/>
        </w:rPr>
        <w:t>a</w:t>
      </w:r>
      <w:proofErr w:type="spellEnd"/>
      <w:r w:rsidR="00973F1E">
        <w:rPr>
          <w:rFonts w:ascii="Arial"/>
        </w:rPr>
        <w:t xml:space="preserve"> </w:t>
      </w:r>
    </w:p>
    <w:p w:rsidR="005973B9" w:rsidRPr="00973F1E" w:rsidRDefault="00973F1E" w:rsidP="00973F1E">
      <w:pPr>
        <w:pStyle w:val="BodyText"/>
        <w:spacing w:before="73" w:line="198" w:lineRule="exact"/>
        <w:ind w:right="5987"/>
        <w:rPr>
          <w:rFonts w:ascii="Arial"/>
        </w:rPr>
      </w:pPr>
      <w:r w:rsidRPr="00973F1E">
        <w:rPr>
          <w:rFonts w:ascii="Arial"/>
          <w:vertAlign w:val="superscript"/>
        </w:rPr>
        <w:t>a</w:t>
      </w:r>
      <w:r>
        <w:rPr>
          <w:rFonts w:ascii="Arial"/>
          <w:vertAlign w:val="superscript"/>
        </w:rPr>
        <w:t xml:space="preserve"> </w:t>
      </w:r>
      <w:r w:rsidR="00C8352F" w:rsidRPr="00973F1E">
        <w:rPr>
          <w:rFonts w:ascii="Arial"/>
        </w:rPr>
        <w:t>Medway School of Pharmacy</w:t>
      </w:r>
      <w:r w:rsidRPr="00973F1E">
        <w:rPr>
          <w:rFonts w:ascii="Arial"/>
        </w:rPr>
        <w:t>, University of Kent</w:t>
      </w:r>
    </w:p>
    <w:p w:rsidR="00AE3E37" w:rsidRDefault="00973F1E">
      <w:pPr>
        <w:pStyle w:val="BodyText"/>
        <w:rPr>
          <w:rFonts w:ascii="Arial"/>
        </w:rPr>
      </w:pPr>
      <w:r w:rsidRPr="00973F1E">
        <w:rPr>
          <w:rFonts w:ascii="Arial"/>
          <w:vertAlign w:val="superscript"/>
        </w:rPr>
        <w:t xml:space="preserve">b </w:t>
      </w:r>
      <w:r w:rsidRPr="00973F1E">
        <w:rPr>
          <w:rFonts w:ascii="Arial"/>
        </w:rPr>
        <w:t>School of Physical Sciences, University of Kent</w:t>
      </w:r>
    </w:p>
    <w:p w:rsidR="00973F1E" w:rsidRPr="00973F1E" w:rsidRDefault="00973F1E" w:rsidP="00973F1E">
      <w:pPr>
        <w:pStyle w:val="BodyText"/>
        <w:rPr>
          <w:rFonts w:ascii="Arial"/>
        </w:rPr>
      </w:pPr>
      <w:r>
        <w:rPr>
          <w:rFonts w:ascii="Arial"/>
          <w:vertAlign w:val="superscript"/>
        </w:rPr>
        <w:t xml:space="preserve">c </w:t>
      </w:r>
      <w:r w:rsidRPr="00973F1E">
        <w:rPr>
          <w:rFonts w:ascii="Arial"/>
        </w:rPr>
        <w:t>Dep</w:t>
      </w:r>
      <w:r>
        <w:rPr>
          <w:rFonts w:ascii="Arial"/>
        </w:rPr>
        <w:t>artment</w:t>
      </w:r>
      <w:r w:rsidRPr="00973F1E">
        <w:rPr>
          <w:rFonts w:ascii="Arial"/>
        </w:rPr>
        <w:t xml:space="preserve"> of Natural Sciences</w:t>
      </w:r>
      <w:r>
        <w:rPr>
          <w:rFonts w:ascii="Arial"/>
        </w:rPr>
        <w:t xml:space="preserve">, </w:t>
      </w:r>
      <w:r w:rsidRPr="00973F1E">
        <w:rPr>
          <w:rFonts w:ascii="Arial"/>
        </w:rPr>
        <w:t>Middlesex University</w:t>
      </w:r>
    </w:p>
    <w:p w:rsidR="0032019C" w:rsidRDefault="0032019C" w:rsidP="00973F1E">
      <w:pPr>
        <w:pStyle w:val="BodyText"/>
        <w:rPr>
          <w:rFonts w:ascii="Arial"/>
        </w:rPr>
        <w:sectPr w:rsidR="0032019C" w:rsidSect="0032019C">
          <w:type w:val="continuous"/>
          <w:pgSz w:w="11910" w:h="16840"/>
          <w:pgMar w:top="1740" w:right="600" w:bottom="840" w:left="620" w:header="541" w:footer="642" w:gutter="0"/>
          <w:cols w:space="720"/>
        </w:sectPr>
      </w:pPr>
    </w:p>
    <w:p w:rsidR="00973F1E" w:rsidRPr="00973F1E" w:rsidRDefault="00973F1E" w:rsidP="00973F1E">
      <w:pPr>
        <w:pStyle w:val="BodyText"/>
        <w:rPr>
          <w:rFonts w:ascii="Arial"/>
        </w:rPr>
      </w:pPr>
    </w:p>
    <w:p w:rsidR="00AE3E37" w:rsidRDefault="00AE3E37">
      <w:pPr>
        <w:rPr>
          <w:rFonts w:ascii="Arial"/>
          <w:sz w:val="21"/>
        </w:rPr>
        <w:sectPr w:rsidR="00AE3E37">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C8352F">
      <w:pPr>
        <w:pStyle w:val="BodyText"/>
        <w:spacing w:before="90" w:line="280" w:lineRule="auto"/>
        <w:ind w:left="100"/>
        <w:jc w:val="both"/>
      </w:pPr>
      <w:r>
        <w:t>Melanoma affects over 200,000 people in the UK alone, with survival rates of around 86%</w:t>
      </w:r>
      <w:r w:rsidR="00F84BAE">
        <w:t>.</w:t>
      </w:r>
      <w:r>
        <w:t xml:space="preserve"> </w:t>
      </w:r>
      <w:r w:rsidR="00F84BAE" w:rsidRPr="00F84BAE">
        <w:t>Over the last decade melanoma skin cancer incidence rates for males and females combined increased by 50%.</w:t>
      </w:r>
      <w:r w:rsidR="00F84BAE">
        <w:t xml:space="preserve"> </w:t>
      </w:r>
      <w:r w:rsidR="00F32E05">
        <w:t>The current main treatments of skin-cancer are surgery to remove the affected area, as well as chemotherapy/radiotherapy and immunotherapy to kill the tumour cells.</w:t>
      </w:r>
      <w:r w:rsidR="00F84BAE">
        <w:t xml:space="preserve"> However, around 33,000 people still die within the first five years after diagnosis and treatment. </w:t>
      </w:r>
      <w:r w:rsidR="00047B4A">
        <w:t>The purpose of this study is to explore the possible development of a new nanomedicine technology that uses anti-cancer drug doped-nanoparticles</w:t>
      </w:r>
      <w:r w:rsidR="00623707">
        <w:t xml:space="preserve"> (</w:t>
      </w:r>
      <w:r w:rsidR="00F84BAE" w:rsidRPr="008F47F6">
        <w:rPr>
          <w:b/>
        </w:rPr>
        <w:t>Figure</w:t>
      </w:r>
      <w:r w:rsidR="00F84BAE">
        <w:t xml:space="preserve"> </w:t>
      </w:r>
      <w:r w:rsidR="00623707" w:rsidRPr="00F84BAE">
        <w:rPr>
          <w:b/>
        </w:rPr>
        <w:t>a</w:t>
      </w:r>
      <w:r w:rsidR="00623707">
        <w:t>)</w:t>
      </w:r>
      <w:r w:rsidR="00047B4A">
        <w:t xml:space="preserve"> to kill tumour cells. Nanoparticles</w:t>
      </w:r>
      <w:r w:rsidR="0075553A">
        <w:fldChar w:fldCharType="begin" w:fldLock="1"/>
      </w:r>
      <w:r w:rsidR="0075553A">
        <w:instrText>ADDIN CSL_CITATION {"citationItems":[{"id":"ITEM-1","itemData":{"DOI":"10.1039/c4tb01915f","ISSN":"2050750X","abstract":"&lt;p&gt;Robust protocols for antibody-nanoparticle (Ab-NP) conjugation, and improved method for long-term stability and storage of Ab-NPs using cryoprotectants.&lt;/p&gt;","author":[{"dropping-particle":"","family":"Moore","given":"C. J.","non-dropping-particle":"","parse-names":false,"suffix":""},{"dropping-particle":"","family":"Montón","given":"H.","non-dropping-particle":"","parse-names":false,"suffix":""},{"dropping-particle":"","family":"O'Kennedy","given":"R.","non-dropping-particle":"","parse-names":false,"suffix":""},{"dropping-particle":"","family":"Williams","given":"D. E.","non-dropping-particle":"","parse-names":false,"suffix":""},{"dropping-particle":"","family":"Nogués","given":"C.","non-dropping-particle":"","parse-names":false,"suffix":""},{"dropping-particle":"","family":"Crean","given":"C.","non-dropping-particle":"","parse-names":false,"suffix":""},{"dropping-particle":"","family":"Gubala","given":"V.","non-dropping-particle":"","parse-names":false,"suffix":""}],"container-title":"Journal of Materials Chemistry B","id":"ITEM-1","issued":{"date-parts":[["2015"]]},"title":"Controlling colloidal stability of silica nanoparticles during bioconjugation reactions with proteins and improving their longer-term stability, handling and storage","type":"article-journal"},"uris":["http://www.mendeley.com/documents/?uuid=6af97476-2842-3832-8f8d-6eea6c904914"]}],"mendeley":{"formattedCitation":"&lt;sup&gt;1&lt;/sup&gt;","plainTextFormattedCitation":"1","previouslyFormattedCitation":"&lt;sup&gt;1&lt;/sup&gt;"},"properties":{"noteIndex":0},"schema":"https://github.com/citation-style-language/schema/raw/master/csl-citation.json"}</w:instrText>
      </w:r>
      <w:r w:rsidR="0075553A">
        <w:fldChar w:fldCharType="separate"/>
      </w:r>
      <w:r w:rsidR="0075553A" w:rsidRPr="0075553A">
        <w:rPr>
          <w:noProof/>
          <w:vertAlign w:val="superscript"/>
        </w:rPr>
        <w:t>1</w:t>
      </w:r>
      <w:r w:rsidR="0075553A">
        <w:fldChar w:fldCharType="end"/>
      </w:r>
      <w:r w:rsidR="00047B4A">
        <w:t xml:space="preserve"> are held in solution which can lead to aggregation, making them undesirable as drug delivery systems. The proposed solution to this is </w:t>
      </w:r>
      <w:r w:rsidR="00F84BAE">
        <w:t>to formulate the nanoparticles into a m</w:t>
      </w:r>
      <w:r w:rsidR="00047B4A">
        <w:t xml:space="preserve">icroneedle </w:t>
      </w:r>
      <w:r w:rsidR="00F84BAE">
        <w:t xml:space="preserve">array </w:t>
      </w:r>
      <w:r w:rsidR="00047B4A">
        <w:t>made from methylcellulose</w:t>
      </w:r>
      <w:r w:rsidR="00F84BAE">
        <w:t xml:space="preserve"> gels</w:t>
      </w:r>
      <w:r w:rsidR="00C77D23">
        <w:fldChar w:fldCharType="begin" w:fldLock="1"/>
      </w:r>
      <w:r w:rsidR="0075553A">
        <w:instrText>ADDIN CSL_CITATION {"citationItems":[{"id":"ITEM-1","itemData":{"DOI":"10.1016/j.ejpb.2014.11.023","ISBN":"9131852955","ISSN":"09396411","PMID":"25481031","abstract":"Dissolving microneedles are especially attractive for transdermal drug delivery as they are associated with improved patient compliance and safety. Furthermore, microneedles made of sugars offer the added benefit of biomolecule stabilisation making them ideal candidates for delivering biological agents such as proteins, peptides and nucleic acids. In this study, we performed experimental and finite element analyses to study the mechanical properties of sugar microneedles and evaluate the effect of sugar composition on microneedle ability to penetrate and deliver drug to the skin. Results showed that microneedles made of carboxymethylcellulose/maltose are superior to those made of carboxymethylcellulose/trehalose and carboxymethylcellulose/sucrose in terms of mechanical strength and the ability to deliver drug. Buckling was predicted to be the main mode of microneedle failure and the order of buckling was positively correlated to the Young's modulus values of the sugar constituents of each microneedle.","author":[{"dropping-particle":"","family":"Loizidou","given":"Eriketi Z.","non-dropping-particle":"","parse-names":false,"suffix":""},{"dropping-particle":"","family":"Williams","given":"Nicholas A.","non-dropping-particle":"","parse-names":false,"suffix":""},{"dropping-particle":"","family":"Barrow","given":"David A.","non-dropping-particle":"","parse-names":false,"suffix":""},{"dropping-particle":"","family":"Eaton","given":"Mark J.","non-dropping-particle":"","parse-names":false,"suffix":""},{"dropping-particle":"","family":"McCrory","given":"John","non-dropping-particle":"","parse-names":false,"suffix":""},{"dropping-particle":"","family":"Evans","given":"Sam L.","non-dropping-particle":"","parse-names":false,"suffix":""},{"dropping-particle":"","family":"Allender","given":"Chris J.","non-dropping-particle":"","parse-names":false,"suffix":""}],"container-title":"European Journal of Pharmaceutics and Biopharmaceutics","id":"ITEM-1","issued":{"date-parts":[["2015","1"]]},"page":"224-231","title":"Structural characterisation and transdermal delivery studies on sugar microneedles: Experimental and finite element modelling analyses","type":"article-journal","volume":"89"},"uris":["http://www.mendeley.com/documents/?uuid=99f0ef67-c7d9-3075-bb29-a235a57a3212"]}],"mendeley":{"formattedCitation":"&lt;sup&gt;2&lt;/sup&gt;","plainTextFormattedCitation":"2","previouslyFormattedCitation":"&lt;sup&gt;2&lt;/sup&gt;"},"properties":{"noteIndex":0},"schema":"https://github.com/citation-style-language/schema/raw/master/csl-citation.json"}</w:instrText>
      </w:r>
      <w:r w:rsidR="00C77D23">
        <w:fldChar w:fldCharType="separate"/>
      </w:r>
      <w:r w:rsidR="0075553A" w:rsidRPr="0075553A">
        <w:rPr>
          <w:noProof/>
          <w:vertAlign w:val="superscript"/>
        </w:rPr>
        <w:t>2</w:t>
      </w:r>
      <w:r w:rsidR="00C77D23">
        <w:fldChar w:fldCharType="end"/>
      </w:r>
      <w:r w:rsidR="00047B4A">
        <w:t xml:space="preserve">. In solution, nanoparticles </w:t>
      </w:r>
      <w:r w:rsidR="00F84BAE">
        <w:t xml:space="preserve">are subject to Brownian motion </w:t>
      </w:r>
      <w:r w:rsidR="00047B4A">
        <w:t xml:space="preserve">and </w:t>
      </w:r>
      <w:r w:rsidR="00F84BAE">
        <w:t xml:space="preserve">tend to </w:t>
      </w:r>
      <w:r w:rsidR="00047B4A">
        <w:t>aggregate</w:t>
      </w:r>
      <w:r w:rsidR="00F84BAE">
        <w:t xml:space="preserve"> (</w:t>
      </w:r>
      <w:r w:rsidR="00F84BAE" w:rsidRPr="008F47F6">
        <w:rPr>
          <w:b/>
        </w:rPr>
        <w:t xml:space="preserve">Figure </w:t>
      </w:r>
      <w:r w:rsidR="00F84BAE">
        <w:rPr>
          <w:b/>
        </w:rPr>
        <w:t>b</w:t>
      </w:r>
      <w:r w:rsidR="00F84BAE">
        <w:t>)</w:t>
      </w:r>
      <w:r w:rsidR="00047B4A">
        <w:t xml:space="preserve">, however </w:t>
      </w:r>
      <w:r w:rsidR="00F84BAE">
        <w:t>when formulated into a gel-like microneedle patch (</w:t>
      </w:r>
      <w:r w:rsidR="00F84BAE" w:rsidRPr="008F47F6">
        <w:rPr>
          <w:b/>
        </w:rPr>
        <w:t xml:space="preserve">Figure </w:t>
      </w:r>
      <w:r w:rsidR="00F84BAE">
        <w:rPr>
          <w:b/>
        </w:rPr>
        <w:t>c</w:t>
      </w:r>
      <w:r w:rsidR="00F84BAE">
        <w:t>)</w:t>
      </w:r>
      <w:r w:rsidR="00047B4A">
        <w:t xml:space="preserve">, </w:t>
      </w:r>
      <w:r w:rsidR="00F84BAE">
        <w:t>the aggregation is prevented</w:t>
      </w:r>
      <w:r w:rsidR="00047B4A">
        <w:t xml:space="preserve">. Methylcellulose is used specifically because it is biodegradable and will </w:t>
      </w:r>
      <w:r w:rsidR="00F84BAE">
        <w:t>degrade by enzymatic reaction in the epidermis</w:t>
      </w:r>
      <w:r w:rsidR="00047B4A">
        <w:t xml:space="preserve">, </w:t>
      </w:r>
      <w:r w:rsidR="00F84BAE">
        <w:t xml:space="preserve">thus </w:t>
      </w:r>
      <w:r w:rsidR="00047B4A">
        <w:t>releasing nanopa</w:t>
      </w:r>
      <w:r w:rsidR="00C77D23">
        <w:t xml:space="preserve">rticles into the </w:t>
      </w:r>
      <w:r w:rsidR="00F84BAE">
        <w:t>microenvironment</w:t>
      </w:r>
      <w:r w:rsidR="00C77D23">
        <w:t>. Microneedle patches have been used widely in cosmetics</w:t>
      </w:r>
      <w:r w:rsidR="0075553A">
        <w:fldChar w:fldCharType="begin" w:fldLock="1"/>
      </w:r>
      <w:r w:rsidR="0075553A">
        <w:instrText>ADDIN CSL_CITATION {"citationItems":[{"id":"ITEM-1","itemData":{"author":[{"dropping-particle":"","family":"Kim","given":"Jung Dong","non-dropping-particle":"","parse-names":false,"suffix":""},{"dropping-particle":"","family":"Jeong","given":"Do Hyeon","non-dropping-particle":"","parse-names":false,"suffix":""}],"container-title":"On Drug Delivery","id":"ITEM-1","issue":"84","issued":{"date-parts":[["2018"]]},"page":"24-29","title":"Dissolvable Microneedles: Applications and Opportunities","type":"article-journal"},"uris":["http://www.mendeley.com/documents/?uuid=1e23a31e-e973-3f8d-aa18-71f983fbb428"]}],"mendeley":{"formattedCitation":"&lt;sup&gt;3&lt;/sup&gt;","plainTextFormattedCitation":"3","previouslyFormattedCitation":"&lt;sup&gt;3&lt;/sup&gt;"},"properties":{"noteIndex":0},"schema":"https://github.com/citation-style-language/schema/raw/master/csl-citation.json"}</w:instrText>
      </w:r>
      <w:r w:rsidR="0075553A">
        <w:fldChar w:fldCharType="separate"/>
      </w:r>
      <w:r w:rsidR="0075553A" w:rsidRPr="0075553A">
        <w:rPr>
          <w:noProof/>
          <w:vertAlign w:val="superscript"/>
        </w:rPr>
        <w:t>3</w:t>
      </w:r>
      <w:r w:rsidR="0075553A">
        <w:fldChar w:fldCharType="end"/>
      </w:r>
      <w:r w:rsidR="0075553A">
        <w:t>, as well as for insulin delivery</w:t>
      </w:r>
      <w:r w:rsidR="0075553A">
        <w:fldChar w:fldCharType="begin" w:fldLock="1"/>
      </w:r>
      <w:r w:rsidR="0075553A">
        <w:instrText>ADDIN CSL_CITATION {"citationItems":[{"id":"ITEM-1","itemData":{"DOI":"10.3390/ma11091625","ISSN":"1996-1944","abstract":"In this study, dissolving polymeric microneedle (MN) patches composed of gelatin and sodium carboxymethyl cellulose (CMC) were used to localize insulin. Their in vitro skin insertion capabilities were determined using tissue-marking dye to stain the skin after patches removal. Scanning electron microscopy (SEM) was used to determine changes in the MNs over time, and optical coherence tomography (OCT) was used to monitor their real-time penetration depth. Confocal microscopy images revealed that rhodamine 6G gradually diffuses from the puncture sites to deeper dermal tissue. Using an in vivo imaging system (IVIS), skin areas that received FITC-insulin-loaded MNs were found to present strong fluorescent signals that greatly decreased 1 h after application. Results show that dissolving MNs rapidly release FITC-insulin, and it then gradually diffuses into the skin. This study verifies that using a gelatin/CMC MN patch for insulin delivery achieves satisfactory relative bioavailability compared to a traditional hypodermic injection and can be a promising delivery device for poorly permeable protein drugs such as those used to treat diabetes. Insertion tests on human cadaveric skin demonstrate that dissolving MNs could serve as efficient devices for transdermal drug delivery in clinical practice and that the volar aspect of forearm skin is the ideal location for their applications.","author":[{"dropping-particle":"","family":"Chen","given":"Chih-Hao","non-dropping-particle":"","parse-names":false,"suffix":""},{"dropping-particle":"","family":"Shyu","given":"Victor","non-dropping-particle":"","parse-names":false,"suffix":""},{"dropping-particle":"","family":"Chen","given":"Chien-Tzung","non-dropping-particle":"","parse-names":false,"suffix":""}],"container-title":"Materials","id":"ITEM-1","issue":"9","issued":{"date-parts":[["2018","9","5"]]},"page":"1625","title":"Dissolving Microneedle Patches for Transdermal Insulin Delivery in Diabetic Mice: Potential for Clinical Applications","type":"article-journal","volume":"11"},"uris":["http://www.mendeley.com/documents/?uuid=e2521520-8f6e-3f66-8747-39aeed6ce9e0"]}],"mendeley":{"formattedCitation":"&lt;sup&gt;4&lt;/sup&gt;","plainTextFormattedCitation":"4","previouslyFormattedCitation":"&lt;sup&gt;4&lt;/sup&gt;"},"properties":{"noteIndex":0},"schema":"https://github.com/citation-style-language/schema/raw/master/csl-citation.json"}</w:instrText>
      </w:r>
      <w:r w:rsidR="0075553A">
        <w:fldChar w:fldCharType="separate"/>
      </w:r>
      <w:r w:rsidR="0075553A" w:rsidRPr="0075553A">
        <w:rPr>
          <w:noProof/>
          <w:vertAlign w:val="superscript"/>
        </w:rPr>
        <w:t>4</w:t>
      </w:r>
      <w:r w:rsidR="0075553A">
        <w:fldChar w:fldCharType="end"/>
      </w:r>
      <w:r w:rsidR="0075553A">
        <w:t>.</w:t>
      </w:r>
      <w:r w:rsidR="00047B4A">
        <w:t xml:space="preserve"> To observe </w:t>
      </w:r>
      <w:r w:rsidR="00F84BAE">
        <w:t>the disintegration of</w:t>
      </w:r>
      <w:r w:rsidR="00047B4A">
        <w:t xml:space="preserve"> microneedles </w:t>
      </w:r>
      <w:r w:rsidR="00F84BAE">
        <w:t>and the release of the drug-doped nanoparticles in the</w:t>
      </w:r>
      <w:r w:rsidR="00047B4A">
        <w:t xml:space="preserve"> skin</w:t>
      </w:r>
      <w:r w:rsidR="0075553A">
        <w:fldChar w:fldCharType="begin" w:fldLock="1"/>
      </w:r>
      <w:r w:rsidR="0075553A">
        <w:instrText xml:space="preserve">ADDIN CSL_CITATION {"citationItems":[{"id":"ITEM-1","itemData":{"DOI":"10.1016/j.jconrel.2010.08.008","ISBN":"1873-4995 (Electronic)\\r0168-3659 (Linking)","ISSN":"01683659","PMID":"20727929","abstract":"In this study, we used optical coherence tomography (OCT) to extensively investigate, for the first time, the effect that microneedle (MN) geometry (MN height, and MN interspacing) and force of application have upon penetration characteristics of soluble poly(methylvinylether-co-maleic anhydride, PMVE/MA) MN arrays into neonatal porcine skin in vitro. The results from OCT investigations were then used to design optimal and suboptimal MN-based drug delivery systems and evaluate their drug delivery profiles cross full thickness and dermatomed neonatal porcine skin in vitro. It was found that increasing the force used for MN application resulted in a significant increase in the depth of penetration achieved within neonatal porcine skin. For example, MN of 600 </w:instrText>
      </w:r>
      <w:r w:rsidR="0075553A">
        <w:rPr>
          <w:rFonts w:ascii="Calibri" w:hAnsi="Calibri" w:cs="Calibri"/>
        </w:rPr>
        <w:instrText>μ</w:instrText>
      </w:r>
      <w:r w:rsidR="0075553A">
        <w:instrText xml:space="preserve">m height penetrated to a depth of 330 </w:instrText>
      </w:r>
      <w:r w:rsidR="0075553A">
        <w:rPr>
          <w:rFonts w:ascii="Calibri" w:hAnsi="Calibri" w:cs="Calibri"/>
        </w:rPr>
        <w:instrText>μ</w:instrText>
      </w:r>
      <w:r w:rsidR="0075553A">
        <w:instrText xml:space="preserve">m when inserted at a force of 4.4. N/array, while the penetration increased significantly to a depth of 520 </w:instrText>
      </w:r>
      <w:r w:rsidR="0075553A">
        <w:rPr>
          <w:rFonts w:ascii="Calibri" w:hAnsi="Calibri" w:cs="Calibri"/>
        </w:rPr>
        <w:instrText>μ</w:instrText>
      </w:r>
      <w:r w:rsidR="0075553A">
        <w:instrText xml:space="preserve">m, when the force of application was increased to 16.4. N/array. At an application force of 11.0. N/array it was found that, in each case, increasing MN height from 350 to 600 </w:instrText>
      </w:r>
      <w:r w:rsidR="0075553A">
        <w:rPr>
          <w:rFonts w:ascii="Calibri" w:hAnsi="Calibri" w:cs="Calibri"/>
        </w:rPr>
        <w:instrText>μ</w:instrText>
      </w:r>
      <w:r w:rsidR="0075553A">
        <w:instrText xml:space="preserve">m to 900 </w:instrText>
      </w:r>
      <w:r w:rsidR="0075553A">
        <w:rPr>
          <w:rFonts w:ascii="Calibri" w:hAnsi="Calibri" w:cs="Calibri"/>
        </w:rPr>
        <w:instrText>μ</w:instrText>
      </w:r>
      <w:r w:rsidR="0075553A">
        <w:instrText xml:space="preserve">m led to a significant increase in the depth of MN penetration achieved. Moreover, alteration of MN interspacing had no effect upon depth of penetration achieved, at a constant MN height and force of application. With respect to MN dissolution, an approximate 34% reduction in MN height occurred in the first 15. min, with only 17% of the MN height remaining after a 3-hour period. Across both skin models, there was a significantly greater cumulative amount of theophylline delivered after 24. h from an MN array of 900 </w:instrText>
      </w:r>
      <w:r w:rsidR="0075553A">
        <w:rPr>
          <w:rFonts w:ascii="Calibri" w:hAnsi="Calibri" w:cs="Calibri"/>
        </w:rPr>
        <w:instrText>μ</w:instrText>
      </w:r>
      <w:r w:rsidR="0075553A">
        <w:instrText xml:space="preserve">m height (292.23 ± 16.77 </w:instrText>
      </w:r>
      <w:r w:rsidR="0075553A">
        <w:rPr>
          <w:rFonts w:ascii="Calibri" w:hAnsi="Calibri" w:cs="Calibri"/>
        </w:rPr>
        <w:instrText>μ</w:instrText>
      </w:r>
      <w:r w:rsidR="0075553A">
        <w:instrText xml:space="preserve">g), in comparison to an MN array of 350 </w:instrText>
      </w:r>
      <w:r w:rsidR="0075553A">
        <w:rPr>
          <w:rFonts w:ascii="Calibri" w:hAnsi="Calibri" w:cs="Calibri"/>
        </w:rPr>
        <w:instrText>μ</w:instrText>
      </w:r>
      <w:r w:rsidR="0075553A">
        <w:instrText xml:space="preserve">m height (242.62 ± 14.81 </w:instrText>
      </w:r>
      <w:r w:rsidR="0075553A">
        <w:rPr>
          <w:rFonts w:ascii="Calibri" w:hAnsi="Calibri" w:cs="Calibri"/>
        </w:rPr>
        <w:instrText>μ</w:instrText>
      </w:r>
      <w:r w:rsidR="0075553A">
        <w:instrText>g) (p&lt; 0.001). Employing full thickness skin significantly reduced drug permeation in both cases. Importantly, this study has highlighted the effect that MN geometry and application force have upon the depth of penetration into skin. While it has been shown that MN height has an important role in the extent of drug delivered across neonatal porcine skin from a soluble MN array, further studies to evaluate the full significance of MN geometry on MN mediated drug delivery are now underway. The successful use of OCT in this study could prove to be a key development for polymeric MN research, accelerating their commercial exploitation. © 2010 Elsevier B.V.","author":[{"dropping-particle":"","family":"Donnelly","given":"Ryan F.","non-dropping-particle":"","parse-names":false,"suffix":""},{"dropping-particle":"","family":"Garland","given":"Martin J.","non-dropping-particle":"","parse-names":false,"suffix":""},{"dropping-particle":"","family":"Morrow","given":"Desmond I.J.","non-dropping-particle":"","parse-names":false,"suffix":""},{"dropping-particle":"","family":"Migalska","given":"Katarzyna","non-dropping-particle":"","parse-names":false,"suffix":""},{"dropping-particle":"","family":"Singh","given":"Thakur Raghu Raj","non-dropping-particle":"","parse-names":false,"suffix":""},{"dropping-particle":"","family":"Majithiya","given":"Rita","non-dropping-particle":"","parse-names":false,"suffix":""},{"dropping-particle":"","family":"Woolfson","given":"A. David","non-dropping-particle":"","parse-names":false,"suffix":""}],"container-title":"Journal of Controlled Release","id":"ITEM-1","issue":"3","issued":{"date-parts":[["2010","11"]]},"page":"333-341","publisher":"Elsevier B.V.","title":"Optical coherence tomography is a valuable tool in the study of the effects of microneedle geometry on skin penetration characteristics and in-skin dissolution","type":"article-journal","volume":"147"},"uris":["http://www.mendeley.com/documents/?uuid=be586954-e1f9-4028-a159-375999d1eae7"]}],"mendeley":{"formattedCitation":"&lt;sup&gt;5&lt;/sup&gt;","plainTextFormattedCitation":"5","previouslyFormattedCitation":"&lt;sup&gt;5&lt;/sup&gt;"},"properties":{"noteIndex":0},"schema":"https://github.com/citation-style-language/schema/raw/master/csl-citation.json"}</w:instrText>
      </w:r>
      <w:r w:rsidR="0075553A">
        <w:fldChar w:fldCharType="separate"/>
      </w:r>
      <w:r w:rsidR="0075553A" w:rsidRPr="0075553A">
        <w:rPr>
          <w:noProof/>
          <w:vertAlign w:val="superscript"/>
        </w:rPr>
        <w:t>5</w:t>
      </w:r>
      <w:r w:rsidR="0075553A">
        <w:fldChar w:fldCharType="end"/>
      </w:r>
      <w:r w:rsidR="00047B4A">
        <w:t>, optical coherence tomography (OCT) will be used</w:t>
      </w:r>
      <w:r w:rsidR="0075553A">
        <w:fldChar w:fldCharType="begin" w:fldLock="1"/>
      </w:r>
      <w:r w:rsidR="0075553A">
        <w:instrText>ADDIN CSL_CITATION {"citationItems":[{"id":"ITEM-1","itemData":{"DOI":"10.1111/srt.12423","ISSN":"0909752X","abstract":"© 2017 John Wiley &amp; Sons A/S. Background: Optical coherence tomography (OCT) of skin delivers three-dimensional images of tissue microstructures. Although OCT imaging offers a promising high-resolution modality, OCT images suffer from some artifacts that lead to misinterpretation of tissue structures. Therefore, an overview of methods to mitigate artifacts in OCT imaging of the skin is of paramount importance. Speckle, intensity decay, and blurring are three major artifacts in OCT images. Speckle is due to the low coherent light source used in the configuration of OCT. Intensity decay is a deterioration of light with respect to depth, and blurring is the consequence of deficiencies of optical components. Method: Two speckle reduction methods (one based on artificial neural network and one based on spatial compounding), an attenuation compensation algorithm (based on Beer-Lambert law) and a deblurring procedure (using deconvolution), are described. Moreover, optical properties extraction algorithm based on extended Huygens-Fresnel (EHF) principle to obtain some additional information from OCT images are discussed. Results: In this short overview, we summarize some of the image enhancement algorithms for OCT images which address the abovementioned artifacts. The results showed a significant improvement in the visibility of the clinically relevant features in the images. The quality improvement was evaluated using several numerical assessment measures. Conclusion: Clinical dermatologists benefit from using these image enhancement algorithms to improve OCT diagnosis and essentially function as a noninvasive optical biopsy.","author":[{"dropping-particle":"","family":"Adabi","given":"Saba","non-dropping-particle":"","parse-names":false,"suffix":""},{"dropping-particle":"","family":"Fotouhi","given":"Audrey","non-dropping-particle":"","parse-names":false,"suffix":""},{"dropping-particle":"","family":"Xu","given":"Qiuyun","non-dropping-particle":"","parse-names":false,"suffix":""},{"dropping-particle":"","family":"Daveluy","given":"Steve","non-dropping-particle":"","parse-names":false,"suffix":""},{"dropping-particle":"","family":"Mehregan","given":"Darius","non-dropping-particle":"","parse-names":false,"suffix":""},{"dropping-particle":"","family":"Podoleanu","given":"Adrian","non-dropping-particle":"","parse-names":false,"suffix":""},{"dropping-particle":"","family":"Nasiriavanaki","given":"Mohammadreza","non-dropping-particle":"","parse-names":false,"suffix":""}],"container-title":"Skin Research and Technology","id":"ITEM-1","issue":"2","issued":{"date-parts":[["2018","5"]]},"page":"265-273","title":"An overview of methods to mitigate artifacts in optical coherence tomography imaging of the skin","type":"article-journal","volume":"24"},"uris":["http://www.mendeley.com/documents/?uuid=ece9488c-0045-3b48-970b-02c581f2276c"]}],"mendeley":{"formattedCitation":"&lt;sup&gt;6&lt;/sup&gt;","plainTextFormattedCitation":"6","previouslyFormattedCitation":"&lt;sup&gt;6&lt;/sup&gt;"},"properties":{"noteIndex":0},"schema":"https://github.com/citation-style-language/schema/raw/master/csl-citation.json"}</w:instrText>
      </w:r>
      <w:r w:rsidR="0075553A">
        <w:fldChar w:fldCharType="separate"/>
      </w:r>
      <w:r w:rsidR="0075553A" w:rsidRPr="0075553A">
        <w:rPr>
          <w:noProof/>
          <w:vertAlign w:val="superscript"/>
        </w:rPr>
        <w:t>6</w:t>
      </w:r>
      <w:r w:rsidR="0075553A">
        <w:fldChar w:fldCharType="end"/>
      </w:r>
      <w:r w:rsidR="00047B4A">
        <w:t xml:space="preserve">. OCT is a non-invasive imaging technique used to take cross-section images of tissues. </w:t>
      </w:r>
      <w:r w:rsidR="00EA4228">
        <w:t>Although OCT has been used widely in ophthalmology, the use of OCT to image the skin is still relatively new</w:t>
      </w:r>
      <w:r w:rsidR="0075553A">
        <w:fldChar w:fldCharType="begin" w:fldLock="1"/>
      </w:r>
      <w:r w:rsidR="0075553A">
        <w:instrText>ADDIN CSL_CITATION {"citationItems":[{"id":"ITEM-1","itemData":{"DOI":"10.1002/jbio.201700348","ISSN":"1864063X","abstract":"Optical coherence tomography (OCT) is an optical imaging technology that enables real time, high-resolution, cross-sectional and en face investigation of skin by detecting reflected broad-spectrum near-infrared light from tissue. OCT provides micron-scale spatial resolution and millimeter-scale depth of penetration [1]. Several commercial OCT systems with handheld probes targeted for Dermatology are now available [2].","author":[{"dropping-particle":"","family":"Mogensen","given":"Mette","non-dropping-particle":"","parse-names":false,"suffix":""},{"dropping-particle":"","family":"Bojesen","given":"Sophie","non-dropping-particle":"","parse-names":false,"suffix":""},{"dropping-particle":"","family":"Israelsen","given":"Niels M.","non-dropping-particle":"","parse-names":false,"suffix":""},{"dropping-particle":"","family":"Maria","given":"Michael","non-dropping-particle":"","parse-names":false,"suffix":""},{"dropping-particle":"","family":"Jensen","given":"Mikkel","non-dropping-particle":"","parse-names":false,"suffix":""},{"dropping-particle":"","family":"Podoleanu","given":"Adrian","non-dropping-particle":"","parse-names":false,"suffix":""},{"dropping-particle":"","family":"Bang","given":"Ole","non-dropping-particle":"","parse-names":false,"suffix":""},{"dropping-particle":"","family":"Haedersdal","given":"Merete","non-dropping-particle":"","parse-names":false,"suffix":""}],"container-title":"Journal of Biophotonics","id":"ITEM-1","issue":"9","issued":{"date-parts":[["2018","9"]]},"title":"Two optical coherence tomography systems detect topical gold nanoshells in hair follicles, sweat ducts and measure epidermis","type":"article-journal","volume":"11"},"uris":["http://www.mendeley.com/documents/?uuid=131c9a97-6f7c-3b1d-a3d0-c565966e9092"]}],"mendeley":{"formattedCitation":"&lt;sup&gt;7&lt;/sup&gt;","plainTextFormattedCitation":"7","previouslyFormattedCitation":"&lt;sup&gt;7&lt;/sup&gt;"},"properties":{"noteIndex":0},"schema":"https://github.com/citation-style-language/schema/raw/master/csl-citation.json"}</w:instrText>
      </w:r>
      <w:r w:rsidR="0075553A">
        <w:fldChar w:fldCharType="separate"/>
      </w:r>
      <w:r w:rsidR="0075553A" w:rsidRPr="0075553A">
        <w:rPr>
          <w:noProof/>
          <w:vertAlign w:val="superscript"/>
        </w:rPr>
        <w:t>7</w:t>
      </w:r>
      <w:r w:rsidR="0075553A">
        <w:fldChar w:fldCharType="end"/>
      </w:r>
      <w:r w:rsidR="00EA4228">
        <w:t>.</w:t>
      </w:r>
      <w:r w:rsidR="00F84BAE">
        <w:t xml:space="preserve"> We will also present a detailed synthesis of silica nanoparticles, used as the nanocarriers, as well as their characterization by Dynamic Light Scattering, Fluorescence Spectroscopy, Transmission Electron Microscopy and Scanning Electron Microscopy.</w:t>
      </w:r>
    </w:p>
    <w:p w:rsidR="00AE3E37" w:rsidRDefault="00A9710C">
      <w:pPr>
        <w:pStyle w:val="Heading3"/>
        <w:spacing w:before="74"/>
      </w:pPr>
      <w:r>
        <w:rPr>
          <w:b w:val="0"/>
        </w:rPr>
        <w:br w:type="column"/>
      </w:r>
      <w:r>
        <w:rPr>
          <w:color w:val="BF5A14"/>
        </w:rPr>
        <w:t>Image</w:t>
      </w:r>
    </w:p>
    <w:p w:rsidR="00AE3E37" w:rsidRPr="0002786D" w:rsidRDefault="0002786D" w:rsidP="0002786D">
      <w:pPr>
        <w:pStyle w:val="BodyText"/>
        <w:spacing w:before="2"/>
        <w:ind w:left="360"/>
        <w:rPr>
          <w:rFonts w:ascii="Arial"/>
          <w:b/>
          <w:sz w:val="16"/>
        </w:rPr>
      </w:pPr>
      <w:r>
        <w:rPr>
          <w:noProof/>
          <w:lang w:val="en-GB" w:eastAsia="en-GB"/>
        </w:rPr>
        <w:drawing>
          <wp:anchor distT="0" distB="0" distL="114300" distR="114300" simplePos="0" relativeHeight="251658240" behindDoc="1" locked="0" layoutInCell="1" allowOverlap="1">
            <wp:simplePos x="0" y="0"/>
            <wp:positionH relativeFrom="margin">
              <wp:align>right</wp:align>
            </wp:positionH>
            <wp:positionV relativeFrom="paragraph">
              <wp:posOffset>108585</wp:posOffset>
            </wp:positionV>
            <wp:extent cx="2880000" cy="424421"/>
            <wp:effectExtent l="0" t="0" r="0" b="0"/>
            <wp:wrapTight wrapText="bothSides">
              <wp:wrapPolygon edited="0">
                <wp:start x="0" y="0"/>
                <wp:lineTo x="0" y="20371"/>
                <wp:lineTo x="21433" y="20371"/>
                <wp:lineTo x="2143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0000" cy="424421"/>
                    </a:xfrm>
                    <a:prstGeom prst="rect">
                      <a:avLst/>
                    </a:prstGeom>
                  </pic:spPr>
                </pic:pic>
              </a:graphicData>
            </a:graphic>
            <wp14:sizeRelH relativeFrom="margin">
              <wp14:pctWidth>0</wp14:pctWidth>
            </wp14:sizeRelH>
            <wp14:sizeRelV relativeFrom="margin">
              <wp14:pctHeight>0</wp14:pctHeight>
            </wp14:sizeRelV>
          </wp:anchor>
        </w:drawing>
      </w:r>
      <w:r w:rsidR="00C32405">
        <w:rPr>
          <w:b/>
        </w:rPr>
        <w:t>a</w:t>
      </w:r>
      <w:r w:rsidR="00623707" w:rsidRPr="0002786D">
        <w:rPr>
          <w:rFonts w:ascii="Arial"/>
          <w:b/>
          <w:sz w:val="16"/>
        </w:rPr>
        <w:t xml:space="preserve"> </w:t>
      </w:r>
    </w:p>
    <w:p w:rsidR="00623707" w:rsidRDefault="00623707" w:rsidP="00623707">
      <w:pPr>
        <w:pStyle w:val="BodyText"/>
        <w:spacing w:before="2"/>
        <w:rPr>
          <w:rFonts w:ascii="Arial"/>
          <w:b/>
          <w:sz w:val="16"/>
        </w:rPr>
      </w:pPr>
    </w:p>
    <w:p w:rsidR="00623707" w:rsidRDefault="00623707" w:rsidP="00623707">
      <w:pPr>
        <w:pStyle w:val="BodyText"/>
        <w:spacing w:before="2"/>
        <w:rPr>
          <w:rFonts w:ascii="Arial"/>
          <w:b/>
          <w:sz w:val="16"/>
        </w:rPr>
      </w:pPr>
    </w:p>
    <w:p w:rsidR="00623707" w:rsidRDefault="00623707" w:rsidP="00623707">
      <w:pPr>
        <w:pStyle w:val="BodyText"/>
        <w:spacing w:before="2"/>
        <w:rPr>
          <w:rFonts w:ascii="Arial"/>
          <w:b/>
          <w:sz w:val="16"/>
        </w:rPr>
      </w:pPr>
    </w:p>
    <w:p w:rsidR="00623707" w:rsidRDefault="00623707" w:rsidP="00623707">
      <w:pPr>
        <w:pStyle w:val="BodyText"/>
        <w:spacing w:before="2"/>
        <w:rPr>
          <w:rFonts w:ascii="Arial"/>
          <w:b/>
          <w:sz w:val="16"/>
        </w:rPr>
      </w:pPr>
    </w:p>
    <w:p w:rsidR="00623707" w:rsidRDefault="00623707" w:rsidP="00623707">
      <w:pPr>
        <w:pStyle w:val="BodyText"/>
        <w:spacing w:before="2"/>
        <w:rPr>
          <w:rFonts w:ascii="Arial"/>
          <w:b/>
          <w:sz w:val="16"/>
        </w:rPr>
      </w:pPr>
    </w:p>
    <w:p w:rsidR="0002786D" w:rsidRPr="0002786D" w:rsidRDefault="0002786D" w:rsidP="0002786D">
      <w:pPr>
        <w:pStyle w:val="BodyText"/>
        <w:spacing w:before="2"/>
        <w:ind w:left="360"/>
        <w:rPr>
          <w:b/>
        </w:rPr>
      </w:pPr>
      <w:r>
        <w:rPr>
          <w:rFonts w:ascii="Arial"/>
          <w:b/>
          <w:noProof/>
          <w:sz w:val="16"/>
          <w:lang w:val="en-GB" w:eastAsia="en-GB"/>
        </w:rPr>
        <w:drawing>
          <wp:anchor distT="0" distB="0" distL="114300" distR="114300" simplePos="0" relativeHeight="251659264" behindDoc="1" locked="0" layoutInCell="1" allowOverlap="1">
            <wp:simplePos x="0" y="0"/>
            <wp:positionH relativeFrom="column">
              <wp:posOffset>1566342</wp:posOffset>
            </wp:positionH>
            <wp:positionV relativeFrom="paragraph">
              <wp:posOffset>11167</wp:posOffset>
            </wp:positionV>
            <wp:extent cx="1435100" cy="1079500"/>
            <wp:effectExtent l="0" t="0" r="0" b="6350"/>
            <wp:wrapTight wrapText="bothSides">
              <wp:wrapPolygon edited="0">
                <wp:start x="0" y="0"/>
                <wp:lineTo x="0" y="21346"/>
                <wp:lineTo x="21218" y="21346"/>
                <wp:lineTo x="21218"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icroneedle Patch.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35100" cy="1079500"/>
                    </a:xfrm>
                    <a:prstGeom prst="rect">
                      <a:avLst/>
                    </a:prstGeom>
                  </pic:spPr>
                </pic:pic>
              </a:graphicData>
            </a:graphic>
            <wp14:sizeRelH relativeFrom="margin">
              <wp14:pctWidth>0</wp14:pctWidth>
            </wp14:sizeRelH>
            <wp14:sizeRelV relativeFrom="margin">
              <wp14:pctHeight>0</wp14:pctHeight>
            </wp14:sizeRelV>
          </wp:anchor>
        </w:drawing>
      </w:r>
      <w:r>
        <w:rPr>
          <w:rFonts w:ascii="Arial"/>
          <w:b/>
          <w:noProof/>
          <w:sz w:val="16"/>
          <w:lang w:val="en-GB" w:eastAsia="en-GB"/>
        </w:rPr>
        <w:drawing>
          <wp:anchor distT="0" distB="0" distL="114300" distR="114300" simplePos="0" relativeHeight="251661312" behindDoc="1" locked="0" layoutInCell="1" allowOverlap="1">
            <wp:simplePos x="0" y="0"/>
            <wp:positionH relativeFrom="column">
              <wp:posOffset>652313</wp:posOffset>
            </wp:positionH>
            <wp:positionV relativeFrom="paragraph">
              <wp:posOffset>6470</wp:posOffset>
            </wp:positionV>
            <wp:extent cx="404013" cy="1080000"/>
            <wp:effectExtent l="0" t="0" r="0" b="6350"/>
            <wp:wrapTight wrapText="bothSides">
              <wp:wrapPolygon edited="0">
                <wp:start x="0" y="0"/>
                <wp:lineTo x="0" y="21346"/>
                <wp:lineTo x="20377" y="21346"/>
                <wp:lineTo x="2037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ggregation.jpg"/>
                    <pic:cNvPicPr/>
                  </pic:nvPicPr>
                  <pic:blipFill rotWithShape="1">
                    <a:blip r:embed="rId12">
                      <a:extLst>
                        <a:ext uri="{28A0092B-C50C-407E-A947-70E740481C1C}">
                          <a14:useLocalDpi xmlns:a14="http://schemas.microsoft.com/office/drawing/2010/main" val="0"/>
                        </a:ext>
                      </a:extLst>
                    </a:blip>
                    <a:srcRect l="48531" t="6445" r="14005" b="4686"/>
                    <a:stretch/>
                  </pic:blipFill>
                  <pic:spPr bwMode="auto">
                    <a:xfrm>
                      <a:off x="0" y="0"/>
                      <a:ext cx="404013" cy="108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32405">
        <w:rPr>
          <w:b/>
        </w:rPr>
        <w:t>b</w:t>
      </w:r>
      <w:r>
        <w:rPr>
          <w:rFonts w:ascii="Arial"/>
          <w:b/>
          <w:sz w:val="16"/>
        </w:rPr>
        <w:t xml:space="preserve">    </w:t>
      </w:r>
      <w:r>
        <w:rPr>
          <w:rFonts w:ascii="Arial"/>
          <w:b/>
          <w:sz w:val="16"/>
        </w:rPr>
        <w:tab/>
      </w:r>
      <w:r>
        <w:rPr>
          <w:rFonts w:ascii="Arial"/>
          <w:b/>
          <w:sz w:val="16"/>
        </w:rPr>
        <w:tab/>
      </w:r>
      <w:r>
        <w:rPr>
          <w:b/>
        </w:rPr>
        <w:t>c</w:t>
      </w:r>
    </w:p>
    <w:p w:rsidR="0002786D" w:rsidRDefault="0002786D" w:rsidP="0002786D">
      <w:pPr>
        <w:pStyle w:val="BodyText"/>
        <w:spacing w:before="2"/>
        <w:rPr>
          <w:rFonts w:ascii="Arial"/>
          <w:b/>
          <w:sz w:val="16"/>
        </w:rPr>
      </w:pPr>
    </w:p>
    <w:p w:rsidR="00623707" w:rsidRDefault="00F84BAE" w:rsidP="0002786D">
      <w:pPr>
        <w:pStyle w:val="BodyText"/>
        <w:spacing w:before="2"/>
        <w:rPr>
          <w:rFonts w:ascii="Arial"/>
          <w:b/>
          <w:sz w:val="16"/>
        </w:rPr>
      </w:pPr>
      <w:r>
        <w:rPr>
          <w:rFonts w:ascii="Arial"/>
          <w:b/>
          <w:sz w:val="16"/>
        </w:rPr>
        <w:t xml:space="preserve">                                               </w:t>
      </w:r>
      <w:r w:rsidR="00623707">
        <w:rPr>
          <w:rFonts w:ascii="Arial"/>
          <w:b/>
          <w:sz w:val="16"/>
        </w:rPr>
        <w:t xml:space="preserve"> </w:t>
      </w:r>
    </w:p>
    <w:p w:rsidR="00623707" w:rsidRDefault="00623707" w:rsidP="00623707">
      <w:pPr>
        <w:pStyle w:val="BodyText"/>
        <w:spacing w:before="2"/>
        <w:rPr>
          <w:rFonts w:ascii="Arial"/>
          <w:b/>
          <w:sz w:val="16"/>
        </w:rPr>
      </w:pPr>
    </w:p>
    <w:p w:rsidR="00623707" w:rsidRDefault="00623707" w:rsidP="00623707">
      <w:pPr>
        <w:pStyle w:val="BodyText"/>
        <w:spacing w:before="2"/>
        <w:rPr>
          <w:rFonts w:ascii="Arial"/>
          <w:b/>
          <w:sz w:val="16"/>
        </w:rPr>
      </w:pPr>
    </w:p>
    <w:p w:rsidR="00623707" w:rsidRDefault="00623707" w:rsidP="00623707">
      <w:pPr>
        <w:pStyle w:val="BodyText"/>
        <w:spacing w:before="2"/>
        <w:rPr>
          <w:rFonts w:ascii="Arial"/>
          <w:b/>
          <w:sz w:val="16"/>
        </w:rPr>
      </w:pPr>
    </w:p>
    <w:p w:rsidR="00623707" w:rsidRDefault="00623707" w:rsidP="00623707">
      <w:pPr>
        <w:pStyle w:val="BodyText"/>
        <w:spacing w:before="2"/>
        <w:rPr>
          <w:rFonts w:ascii="Arial"/>
          <w:b/>
          <w:sz w:val="16"/>
        </w:rPr>
      </w:pPr>
    </w:p>
    <w:p w:rsidR="0002786D" w:rsidRDefault="0002786D" w:rsidP="00623707">
      <w:pPr>
        <w:pStyle w:val="BodyText"/>
        <w:spacing w:before="2"/>
        <w:rPr>
          <w:rFonts w:ascii="Arial"/>
          <w:b/>
          <w:sz w:val="16"/>
        </w:rPr>
      </w:pPr>
    </w:p>
    <w:p w:rsidR="0002786D" w:rsidRDefault="0002786D" w:rsidP="00623707">
      <w:pPr>
        <w:pStyle w:val="BodyText"/>
        <w:spacing w:before="2"/>
        <w:rPr>
          <w:rFonts w:ascii="Arial"/>
          <w:b/>
          <w:sz w:val="16"/>
        </w:rPr>
      </w:pPr>
    </w:p>
    <w:p w:rsidR="0002786D" w:rsidRDefault="0002786D" w:rsidP="00623707">
      <w:pPr>
        <w:pStyle w:val="BodyText"/>
        <w:spacing w:before="2"/>
        <w:rPr>
          <w:rFonts w:ascii="Arial"/>
          <w:b/>
          <w:sz w:val="16"/>
        </w:rPr>
      </w:pPr>
    </w:p>
    <w:p w:rsidR="00623707" w:rsidRDefault="00623707" w:rsidP="00623707">
      <w:pPr>
        <w:pStyle w:val="BodyText"/>
        <w:spacing w:before="2"/>
        <w:rPr>
          <w:sz w:val="16"/>
        </w:rPr>
      </w:pPr>
      <w:r>
        <w:rPr>
          <w:b/>
          <w:sz w:val="16"/>
        </w:rPr>
        <w:t>Figure a</w:t>
      </w:r>
      <w:r w:rsidR="00431420">
        <w:rPr>
          <w:sz w:val="16"/>
        </w:rPr>
        <w:t xml:space="preserve"> – Schematic diagram of the m</w:t>
      </w:r>
      <w:r>
        <w:rPr>
          <w:sz w:val="16"/>
        </w:rPr>
        <w:t>icroemulsion method used for synthesis of anti-cancer drug-doped nanoparticles</w:t>
      </w:r>
    </w:p>
    <w:p w:rsidR="00431420" w:rsidRPr="00431420" w:rsidRDefault="00623707" w:rsidP="00623707">
      <w:pPr>
        <w:pStyle w:val="BodyText"/>
        <w:spacing w:before="2"/>
        <w:rPr>
          <w:sz w:val="16"/>
        </w:rPr>
      </w:pPr>
      <w:r>
        <w:rPr>
          <w:b/>
          <w:sz w:val="16"/>
        </w:rPr>
        <w:t>Figure b</w:t>
      </w:r>
      <w:r w:rsidR="00431420">
        <w:rPr>
          <w:sz w:val="16"/>
        </w:rPr>
        <w:t xml:space="preserve"> – Photo of aggregated nanoparticles</w:t>
      </w:r>
    </w:p>
    <w:p w:rsidR="00623707" w:rsidRPr="00623707" w:rsidRDefault="00431420" w:rsidP="00623707">
      <w:pPr>
        <w:pStyle w:val="BodyText"/>
        <w:spacing w:before="2"/>
        <w:rPr>
          <w:sz w:val="16"/>
        </w:rPr>
      </w:pPr>
      <w:r>
        <w:rPr>
          <w:b/>
          <w:sz w:val="16"/>
        </w:rPr>
        <w:t>Figure c</w:t>
      </w:r>
      <w:r>
        <w:rPr>
          <w:sz w:val="16"/>
        </w:rPr>
        <w:t xml:space="preserve"> – Diagram of nanoparticles in microneedle array</w:t>
      </w:r>
    </w:p>
    <w:p w:rsidR="00623707" w:rsidRPr="00623707" w:rsidRDefault="00623707" w:rsidP="0062370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75553A" w:rsidRPr="0075553A" w:rsidRDefault="0075553A" w:rsidP="0075553A">
      <w:pPr>
        <w:autoSpaceDE w:val="0"/>
        <w:autoSpaceDN w:val="0"/>
        <w:adjustRightInd w:val="0"/>
        <w:spacing w:line="240" w:lineRule="exact"/>
        <w:ind w:left="640" w:hanging="640"/>
        <w:rPr>
          <w:rFonts w:cs="Times New Roman"/>
          <w:noProof/>
          <w:sz w:val="16"/>
          <w:szCs w:val="16"/>
        </w:rPr>
      </w:pPr>
      <w:r>
        <w:fldChar w:fldCharType="begin" w:fldLock="1"/>
      </w:r>
      <w:r>
        <w:instrText xml:space="preserve">ADDIN Mendeley Bibliography CSL_BIBLIOGRAPHY </w:instrText>
      </w:r>
      <w:r>
        <w:fldChar w:fldCharType="separate"/>
      </w:r>
      <w:r w:rsidRPr="0075553A">
        <w:rPr>
          <w:rFonts w:cs="Times New Roman"/>
          <w:noProof/>
          <w:szCs w:val="24"/>
        </w:rPr>
        <w:t>1</w:t>
      </w:r>
      <w:r w:rsidRPr="0075553A">
        <w:rPr>
          <w:rFonts w:cs="Times New Roman"/>
          <w:noProof/>
          <w:szCs w:val="24"/>
        </w:rPr>
        <w:tab/>
      </w:r>
      <w:r w:rsidRPr="0075553A">
        <w:rPr>
          <w:rFonts w:cs="Times New Roman"/>
          <w:noProof/>
          <w:sz w:val="16"/>
          <w:szCs w:val="16"/>
        </w:rPr>
        <w:t xml:space="preserve">C. J. Moore, H. Montón, R. O’Kennedy, D. E. Williams, C. Nogués, C. Crean and V. Gubala, </w:t>
      </w:r>
      <w:r w:rsidRPr="0075553A">
        <w:rPr>
          <w:rFonts w:cs="Times New Roman"/>
          <w:i/>
          <w:iCs/>
          <w:noProof/>
          <w:sz w:val="16"/>
          <w:szCs w:val="16"/>
        </w:rPr>
        <w:t>J. Mater. Chem. B</w:t>
      </w:r>
      <w:r w:rsidRPr="0075553A">
        <w:rPr>
          <w:rFonts w:cs="Times New Roman"/>
          <w:noProof/>
          <w:sz w:val="16"/>
          <w:szCs w:val="16"/>
        </w:rPr>
        <w:t>, , DOI:10.1039/c4tb01915f.</w:t>
      </w:r>
    </w:p>
    <w:p w:rsidR="0075553A" w:rsidRPr="0075553A" w:rsidRDefault="0075553A" w:rsidP="0075553A">
      <w:pPr>
        <w:autoSpaceDE w:val="0"/>
        <w:autoSpaceDN w:val="0"/>
        <w:adjustRightInd w:val="0"/>
        <w:spacing w:line="240" w:lineRule="exact"/>
        <w:ind w:left="640" w:hanging="640"/>
        <w:rPr>
          <w:rFonts w:cs="Times New Roman"/>
          <w:noProof/>
          <w:sz w:val="16"/>
          <w:szCs w:val="16"/>
        </w:rPr>
      </w:pPr>
      <w:r w:rsidRPr="0075553A">
        <w:rPr>
          <w:rFonts w:cs="Times New Roman"/>
          <w:noProof/>
          <w:sz w:val="16"/>
          <w:szCs w:val="16"/>
        </w:rPr>
        <w:t>2</w:t>
      </w:r>
      <w:r w:rsidRPr="0075553A">
        <w:rPr>
          <w:rFonts w:cs="Times New Roman"/>
          <w:noProof/>
          <w:sz w:val="16"/>
          <w:szCs w:val="16"/>
        </w:rPr>
        <w:tab/>
        <w:t xml:space="preserve">E. Z. Loizidou, N. A. Williams, D. A. Barrow, M. J. Eaton, J. McCrory, S. L. Evans and C. J. Allender, </w:t>
      </w:r>
      <w:r w:rsidRPr="0075553A">
        <w:rPr>
          <w:rFonts w:cs="Times New Roman"/>
          <w:i/>
          <w:iCs/>
          <w:noProof/>
          <w:sz w:val="16"/>
          <w:szCs w:val="16"/>
        </w:rPr>
        <w:t>Eur. J. Pharm. Biopharm.</w:t>
      </w:r>
      <w:r w:rsidRPr="0075553A">
        <w:rPr>
          <w:rFonts w:cs="Times New Roman"/>
          <w:noProof/>
          <w:sz w:val="16"/>
          <w:szCs w:val="16"/>
        </w:rPr>
        <w:t xml:space="preserve">, 2015, </w:t>
      </w:r>
      <w:r w:rsidRPr="0075553A">
        <w:rPr>
          <w:rFonts w:cs="Times New Roman"/>
          <w:b/>
          <w:bCs/>
          <w:noProof/>
          <w:sz w:val="16"/>
          <w:szCs w:val="16"/>
        </w:rPr>
        <w:t>89</w:t>
      </w:r>
      <w:r w:rsidRPr="0075553A">
        <w:rPr>
          <w:rFonts w:cs="Times New Roman"/>
          <w:noProof/>
          <w:sz w:val="16"/>
          <w:szCs w:val="16"/>
        </w:rPr>
        <w:t>, 224–231.</w:t>
      </w:r>
    </w:p>
    <w:p w:rsidR="0075553A" w:rsidRPr="0075553A" w:rsidRDefault="0075553A" w:rsidP="0075553A">
      <w:pPr>
        <w:autoSpaceDE w:val="0"/>
        <w:autoSpaceDN w:val="0"/>
        <w:adjustRightInd w:val="0"/>
        <w:spacing w:line="240" w:lineRule="exact"/>
        <w:ind w:left="640" w:hanging="640"/>
        <w:rPr>
          <w:rFonts w:cs="Times New Roman"/>
          <w:noProof/>
          <w:sz w:val="16"/>
          <w:szCs w:val="16"/>
        </w:rPr>
      </w:pPr>
      <w:r w:rsidRPr="0075553A">
        <w:rPr>
          <w:rFonts w:cs="Times New Roman"/>
          <w:noProof/>
          <w:sz w:val="16"/>
          <w:szCs w:val="16"/>
        </w:rPr>
        <w:t>3</w:t>
      </w:r>
      <w:r w:rsidRPr="0075553A">
        <w:rPr>
          <w:rFonts w:cs="Times New Roman"/>
          <w:noProof/>
          <w:sz w:val="16"/>
          <w:szCs w:val="16"/>
        </w:rPr>
        <w:tab/>
        <w:t xml:space="preserve">J. D. Kim and D. H. Jeong, </w:t>
      </w:r>
      <w:r w:rsidRPr="0075553A">
        <w:rPr>
          <w:rFonts w:cs="Times New Roman"/>
          <w:i/>
          <w:iCs/>
          <w:noProof/>
          <w:sz w:val="16"/>
          <w:szCs w:val="16"/>
        </w:rPr>
        <w:t>Drug Deliv.</w:t>
      </w:r>
      <w:r w:rsidRPr="0075553A">
        <w:rPr>
          <w:rFonts w:cs="Times New Roman"/>
          <w:noProof/>
          <w:sz w:val="16"/>
          <w:szCs w:val="16"/>
        </w:rPr>
        <w:t>, 2018, 24–29.</w:t>
      </w:r>
    </w:p>
    <w:p w:rsidR="0075553A" w:rsidRPr="0075553A" w:rsidRDefault="0075553A" w:rsidP="0075553A">
      <w:pPr>
        <w:autoSpaceDE w:val="0"/>
        <w:autoSpaceDN w:val="0"/>
        <w:adjustRightInd w:val="0"/>
        <w:spacing w:line="240" w:lineRule="exact"/>
        <w:ind w:left="640" w:hanging="640"/>
        <w:rPr>
          <w:rFonts w:cs="Times New Roman"/>
          <w:noProof/>
          <w:sz w:val="16"/>
          <w:szCs w:val="16"/>
        </w:rPr>
      </w:pPr>
      <w:r w:rsidRPr="0075553A">
        <w:rPr>
          <w:rFonts w:cs="Times New Roman"/>
          <w:noProof/>
          <w:sz w:val="16"/>
          <w:szCs w:val="16"/>
        </w:rPr>
        <w:t>4</w:t>
      </w:r>
      <w:r w:rsidRPr="0075553A">
        <w:rPr>
          <w:rFonts w:cs="Times New Roman"/>
          <w:noProof/>
          <w:sz w:val="16"/>
          <w:szCs w:val="16"/>
        </w:rPr>
        <w:tab/>
        <w:t xml:space="preserve">C.-H. Chen, V. Shyu and C.-T. Chen, </w:t>
      </w:r>
      <w:r w:rsidRPr="0075553A">
        <w:rPr>
          <w:rFonts w:cs="Times New Roman"/>
          <w:i/>
          <w:iCs/>
          <w:noProof/>
          <w:sz w:val="16"/>
          <w:szCs w:val="16"/>
        </w:rPr>
        <w:t>Materials (Basel).</w:t>
      </w:r>
      <w:r w:rsidRPr="0075553A">
        <w:rPr>
          <w:rFonts w:cs="Times New Roman"/>
          <w:noProof/>
          <w:sz w:val="16"/>
          <w:szCs w:val="16"/>
        </w:rPr>
        <w:t xml:space="preserve">, 2018, </w:t>
      </w:r>
      <w:r w:rsidRPr="0075553A">
        <w:rPr>
          <w:rFonts w:cs="Times New Roman"/>
          <w:b/>
          <w:bCs/>
          <w:noProof/>
          <w:sz w:val="16"/>
          <w:szCs w:val="16"/>
        </w:rPr>
        <w:t>11</w:t>
      </w:r>
      <w:r w:rsidRPr="0075553A">
        <w:rPr>
          <w:rFonts w:cs="Times New Roman"/>
          <w:noProof/>
          <w:sz w:val="16"/>
          <w:szCs w:val="16"/>
        </w:rPr>
        <w:t>, 1625.</w:t>
      </w:r>
    </w:p>
    <w:p w:rsidR="0075553A" w:rsidRPr="0075553A" w:rsidRDefault="0075553A" w:rsidP="0075553A">
      <w:pPr>
        <w:autoSpaceDE w:val="0"/>
        <w:autoSpaceDN w:val="0"/>
        <w:adjustRightInd w:val="0"/>
        <w:spacing w:line="240" w:lineRule="exact"/>
        <w:ind w:left="640" w:hanging="640"/>
        <w:rPr>
          <w:rFonts w:cs="Times New Roman"/>
          <w:noProof/>
          <w:sz w:val="16"/>
          <w:szCs w:val="16"/>
        </w:rPr>
      </w:pPr>
      <w:r w:rsidRPr="0075553A">
        <w:rPr>
          <w:rFonts w:cs="Times New Roman"/>
          <w:noProof/>
          <w:sz w:val="16"/>
          <w:szCs w:val="16"/>
        </w:rPr>
        <w:t>5</w:t>
      </w:r>
      <w:r w:rsidRPr="0075553A">
        <w:rPr>
          <w:rFonts w:cs="Times New Roman"/>
          <w:noProof/>
          <w:sz w:val="16"/>
          <w:szCs w:val="16"/>
        </w:rPr>
        <w:tab/>
        <w:t xml:space="preserve">R. F. Donnelly, M. J. Garland, D. I. J. Morrow, K. Migalska, T. R. R. Singh, R. Majithiya and A. D. Woolfson, </w:t>
      </w:r>
      <w:r w:rsidRPr="0075553A">
        <w:rPr>
          <w:rFonts w:cs="Times New Roman"/>
          <w:i/>
          <w:iCs/>
          <w:noProof/>
          <w:sz w:val="16"/>
          <w:szCs w:val="16"/>
        </w:rPr>
        <w:t>J. Control. Release</w:t>
      </w:r>
      <w:r w:rsidRPr="0075553A">
        <w:rPr>
          <w:rFonts w:cs="Times New Roman"/>
          <w:noProof/>
          <w:sz w:val="16"/>
          <w:szCs w:val="16"/>
        </w:rPr>
        <w:t xml:space="preserve">, 2010, </w:t>
      </w:r>
      <w:r w:rsidRPr="0075553A">
        <w:rPr>
          <w:rFonts w:cs="Times New Roman"/>
          <w:b/>
          <w:bCs/>
          <w:noProof/>
          <w:sz w:val="16"/>
          <w:szCs w:val="16"/>
        </w:rPr>
        <w:t>147</w:t>
      </w:r>
      <w:r w:rsidRPr="0075553A">
        <w:rPr>
          <w:rFonts w:cs="Times New Roman"/>
          <w:noProof/>
          <w:sz w:val="16"/>
          <w:szCs w:val="16"/>
        </w:rPr>
        <w:t>, 333–341.</w:t>
      </w:r>
    </w:p>
    <w:p w:rsidR="0075553A" w:rsidRPr="0075553A" w:rsidRDefault="0075553A" w:rsidP="0075553A">
      <w:pPr>
        <w:autoSpaceDE w:val="0"/>
        <w:autoSpaceDN w:val="0"/>
        <w:adjustRightInd w:val="0"/>
        <w:spacing w:line="240" w:lineRule="exact"/>
        <w:ind w:left="640" w:hanging="640"/>
        <w:rPr>
          <w:rFonts w:cs="Times New Roman"/>
          <w:noProof/>
          <w:sz w:val="16"/>
          <w:szCs w:val="16"/>
        </w:rPr>
      </w:pPr>
      <w:r w:rsidRPr="0075553A">
        <w:rPr>
          <w:rFonts w:cs="Times New Roman"/>
          <w:noProof/>
          <w:sz w:val="16"/>
          <w:szCs w:val="16"/>
        </w:rPr>
        <w:t>6</w:t>
      </w:r>
      <w:r w:rsidRPr="0075553A">
        <w:rPr>
          <w:rFonts w:cs="Times New Roman"/>
          <w:noProof/>
          <w:sz w:val="16"/>
          <w:szCs w:val="16"/>
        </w:rPr>
        <w:tab/>
        <w:t xml:space="preserve">S. Adabi, A. Fotouhi, Q. Xu, S. Daveluy, D. Mehregan, A. Podoleanu and M. Nasiriavanaki, </w:t>
      </w:r>
      <w:r w:rsidRPr="0075553A">
        <w:rPr>
          <w:rFonts w:cs="Times New Roman"/>
          <w:i/>
          <w:iCs/>
          <w:noProof/>
          <w:sz w:val="16"/>
          <w:szCs w:val="16"/>
        </w:rPr>
        <w:t>Ski. Res. Technol.</w:t>
      </w:r>
      <w:r w:rsidRPr="0075553A">
        <w:rPr>
          <w:rFonts w:cs="Times New Roman"/>
          <w:noProof/>
          <w:sz w:val="16"/>
          <w:szCs w:val="16"/>
        </w:rPr>
        <w:t xml:space="preserve">, 2018, </w:t>
      </w:r>
      <w:r w:rsidRPr="0075553A">
        <w:rPr>
          <w:rFonts w:cs="Times New Roman"/>
          <w:b/>
          <w:bCs/>
          <w:noProof/>
          <w:sz w:val="16"/>
          <w:szCs w:val="16"/>
        </w:rPr>
        <w:t>24</w:t>
      </w:r>
      <w:r w:rsidRPr="0075553A">
        <w:rPr>
          <w:rFonts w:cs="Times New Roman"/>
          <w:noProof/>
          <w:sz w:val="16"/>
          <w:szCs w:val="16"/>
        </w:rPr>
        <w:t>, 265–273.</w:t>
      </w:r>
    </w:p>
    <w:p w:rsidR="0075553A" w:rsidRPr="0075553A" w:rsidRDefault="0075553A" w:rsidP="0075553A">
      <w:pPr>
        <w:autoSpaceDE w:val="0"/>
        <w:autoSpaceDN w:val="0"/>
        <w:adjustRightInd w:val="0"/>
        <w:spacing w:line="240" w:lineRule="exact"/>
        <w:ind w:left="640" w:hanging="640"/>
        <w:rPr>
          <w:noProof/>
          <w:sz w:val="16"/>
          <w:szCs w:val="16"/>
        </w:rPr>
      </w:pPr>
      <w:r w:rsidRPr="0075553A">
        <w:rPr>
          <w:rFonts w:cs="Times New Roman"/>
          <w:noProof/>
          <w:sz w:val="16"/>
          <w:szCs w:val="16"/>
        </w:rPr>
        <w:t>7</w:t>
      </w:r>
      <w:r w:rsidRPr="0075553A">
        <w:rPr>
          <w:rFonts w:cs="Times New Roman"/>
          <w:noProof/>
          <w:sz w:val="16"/>
          <w:szCs w:val="16"/>
        </w:rPr>
        <w:tab/>
        <w:t xml:space="preserve">M. Mogensen, S. Bojesen, N. M. Israelsen, M. Maria, M. Jensen, A. Podoleanu, O. Bang and M. Haedersdal, </w:t>
      </w:r>
      <w:r w:rsidRPr="0075553A">
        <w:rPr>
          <w:rFonts w:cs="Times New Roman"/>
          <w:i/>
          <w:iCs/>
          <w:noProof/>
          <w:sz w:val="16"/>
          <w:szCs w:val="16"/>
        </w:rPr>
        <w:t>J. Biophotonics</w:t>
      </w:r>
      <w:r w:rsidRPr="0075553A">
        <w:rPr>
          <w:rFonts w:cs="Times New Roman"/>
          <w:noProof/>
          <w:sz w:val="16"/>
          <w:szCs w:val="16"/>
        </w:rPr>
        <w:t>, , DOI:10.1002/jbio.201700348.</w:t>
      </w:r>
    </w:p>
    <w:p w:rsidR="005973B9" w:rsidRDefault="0075553A" w:rsidP="0075553A">
      <w:pPr>
        <w:tabs>
          <w:tab w:val="left" w:pos="384"/>
        </w:tabs>
        <w:spacing w:line="216" w:lineRule="exact"/>
        <w:ind w:right="137"/>
      </w:pPr>
      <w:r>
        <w:fldChar w:fldCharType="end"/>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0E61" w:rsidRDefault="00110E61">
      <w:r>
        <w:separator/>
      </w:r>
    </w:p>
  </w:endnote>
  <w:endnote w:type="continuationSeparator" w:id="0">
    <w:p w:rsidR="00110E61" w:rsidRDefault="00110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0E61" w:rsidRDefault="00110E61">
      <w:r>
        <w:separator/>
      </w:r>
    </w:p>
  </w:footnote>
  <w:footnote w:type="continuationSeparator" w:id="0">
    <w:p w:rsidR="00110E61" w:rsidRDefault="00110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94D16B1"/>
    <w:multiLevelType w:val="hybridMultilevel"/>
    <w:tmpl w:val="13E220AE"/>
    <w:lvl w:ilvl="0" w:tplc="360A7CF4">
      <w:start w:val="1"/>
      <w:numFmt w:val="lowerLetter"/>
      <w:lvlText w:val="%1."/>
      <w:lvlJc w:val="left"/>
      <w:pPr>
        <w:ind w:left="720" w:hanging="360"/>
      </w:pPr>
      <w:rPr>
        <w:rFonts w:ascii="Tw Cen MT" w:hAnsi="Tw Cen MT"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37"/>
    <w:rsid w:val="0002786D"/>
    <w:rsid w:val="00047B4A"/>
    <w:rsid w:val="000E2911"/>
    <w:rsid w:val="0010665C"/>
    <w:rsid w:val="00110E61"/>
    <w:rsid w:val="001263DF"/>
    <w:rsid w:val="00292ED9"/>
    <w:rsid w:val="0032019C"/>
    <w:rsid w:val="0036518A"/>
    <w:rsid w:val="00404E5B"/>
    <w:rsid w:val="00414F7B"/>
    <w:rsid w:val="00431420"/>
    <w:rsid w:val="004355DC"/>
    <w:rsid w:val="004749B4"/>
    <w:rsid w:val="00494130"/>
    <w:rsid w:val="004F3523"/>
    <w:rsid w:val="005973B9"/>
    <w:rsid w:val="005A04BA"/>
    <w:rsid w:val="005B3A56"/>
    <w:rsid w:val="006060CE"/>
    <w:rsid w:val="00623707"/>
    <w:rsid w:val="0063497F"/>
    <w:rsid w:val="0075553A"/>
    <w:rsid w:val="007837C8"/>
    <w:rsid w:val="0086221B"/>
    <w:rsid w:val="00873DF0"/>
    <w:rsid w:val="008756E6"/>
    <w:rsid w:val="008B7614"/>
    <w:rsid w:val="008F47F6"/>
    <w:rsid w:val="00973F1E"/>
    <w:rsid w:val="009B2D44"/>
    <w:rsid w:val="009D77E3"/>
    <w:rsid w:val="00A07E82"/>
    <w:rsid w:val="00A9710C"/>
    <w:rsid w:val="00AE3E37"/>
    <w:rsid w:val="00B21A57"/>
    <w:rsid w:val="00BB3CA5"/>
    <w:rsid w:val="00C32405"/>
    <w:rsid w:val="00C33602"/>
    <w:rsid w:val="00C53D9F"/>
    <w:rsid w:val="00C77D23"/>
    <w:rsid w:val="00C8352F"/>
    <w:rsid w:val="00CA68CD"/>
    <w:rsid w:val="00CD6F55"/>
    <w:rsid w:val="00DE3104"/>
    <w:rsid w:val="00E01104"/>
    <w:rsid w:val="00EA4228"/>
    <w:rsid w:val="00F32E05"/>
    <w:rsid w:val="00F72EEA"/>
    <w:rsid w:val="00F84BAE"/>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C865D5"/>
  <w15:docId w15:val="{2A558D04-FB9C-4590-B82A-DEFC6E160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962488-B720-8144-88B0-16D9D9843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3120</Words>
  <Characters>17787</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Abstract Template</vt:lpstr>
    </vt:vector>
  </TitlesOfParts>
  <Company>Microsoft</Company>
  <LinksUpToDate>false</LinksUpToDate>
  <CharactersWithSpaces>20866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creator>Materials Chemistry 2017</dc:creator>
  <cp:keywords>Materials Chemistry</cp:keywords>
  <cp:lastModifiedBy>Rachel Sully</cp:lastModifiedBy>
  <cp:revision>3</cp:revision>
  <dcterms:created xsi:type="dcterms:W3CDTF">2019-11-11T09:48:00Z</dcterms:created>
  <dcterms:modified xsi:type="dcterms:W3CDTF">2019-11-11T09:48:00Z</dcterms:modified>
  <cp:category>Materials Chemistry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endeley Document_1">
    <vt:lpwstr>True</vt:lpwstr>
  </property>
  <property fmtid="{D5CDD505-2E9C-101B-9397-08002B2CF9AE}" pid="6" name="Mendeley Unique User Id_1">
    <vt:lpwstr>e0a37382-a75f-3b88-8f11-3d769a373f22</vt:lpwstr>
  </property>
  <property fmtid="{D5CDD505-2E9C-101B-9397-08002B2CF9AE}" pid="7" name="Mendeley Citation Style_1">
    <vt:lpwstr>http://www.zotero.org/styles/royal-society-of-chemistry</vt:lpwstr>
  </property>
  <property fmtid="{D5CDD505-2E9C-101B-9397-08002B2CF9AE}" pid="8" name="Mendeley Recent Style Id 0_1">
    <vt:lpwstr>http://www.zotero.org/styles/american-political-science-association</vt:lpwstr>
  </property>
  <property fmtid="{D5CDD505-2E9C-101B-9397-08002B2CF9AE}" pid="9" name="Mendeley Recent Style Name 0_1">
    <vt:lpwstr>American Political Science Association</vt:lpwstr>
  </property>
  <property fmtid="{D5CDD505-2E9C-101B-9397-08002B2CF9AE}" pid="10" name="Mendeley Recent Style Id 1_1">
    <vt:lpwstr>http://www.zotero.org/styles/apa</vt:lpwstr>
  </property>
  <property fmtid="{D5CDD505-2E9C-101B-9397-08002B2CF9AE}" pid="11" name="Mendeley Recent Style Name 1_1">
    <vt:lpwstr>American Psychological Association 6th edition</vt:lpwstr>
  </property>
  <property fmtid="{D5CDD505-2E9C-101B-9397-08002B2CF9AE}" pid="12" name="Mendeley Recent Style Id 2_1">
    <vt:lpwstr>http://www.zotero.org/styles/american-sociological-association</vt:lpwstr>
  </property>
  <property fmtid="{D5CDD505-2E9C-101B-9397-08002B2CF9AE}" pid="13" name="Mendeley Recent Style Name 2_1">
    <vt:lpwstr>American Sociological Association</vt:lpwstr>
  </property>
  <property fmtid="{D5CDD505-2E9C-101B-9397-08002B2CF9AE}" pid="14" name="Mendeley Recent Style Id 3_1">
    <vt:lpwstr>http://www.zotero.org/styles/chicago-author-date</vt:lpwstr>
  </property>
  <property fmtid="{D5CDD505-2E9C-101B-9397-08002B2CF9AE}" pid="15" name="Mendeley Recent Style Name 3_1">
    <vt:lpwstr>Chicago Manual of Style 17th edition (author-date)</vt:lpwstr>
  </property>
  <property fmtid="{D5CDD505-2E9C-101B-9397-08002B2CF9AE}" pid="16" name="Mendeley Recent Style Id 4_1">
    <vt:lpwstr>http://www.zotero.org/styles/harvard-cite-them-right</vt:lpwstr>
  </property>
  <property fmtid="{D5CDD505-2E9C-101B-9397-08002B2CF9AE}" pid="17" name="Mendeley Recent Style Name 4_1">
    <vt:lpwstr>Cite Them Right 10th edition - Harvard</vt:lpwstr>
  </property>
  <property fmtid="{D5CDD505-2E9C-101B-9397-08002B2CF9AE}" pid="18" name="Mendeley Recent Style Id 5_1">
    <vt:lpwstr>http://www.zotero.org/styles/ieee</vt:lpwstr>
  </property>
  <property fmtid="{D5CDD505-2E9C-101B-9397-08002B2CF9AE}" pid="19" name="Mendeley Recent Style Name 5_1">
    <vt:lpwstr>IEEE</vt:lpwstr>
  </property>
  <property fmtid="{D5CDD505-2E9C-101B-9397-08002B2CF9AE}" pid="20" name="Mendeley Recent Style Id 6_1">
    <vt:lpwstr>http://www.zotero.org/styles/modern-humanities-research-association</vt:lpwstr>
  </property>
  <property fmtid="{D5CDD505-2E9C-101B-9397-08002B2CF9AE}" pid="21" name="Mendeley Recent Style Name 6_1">
    <vt:lpwstr>Modern Humanities Research Association 3rd edition (note with bibliography)</vt:lpwstr>
  </property>
  <property fmtid="{D5CDD505-2E9C-101B-9397-08002B2CF9AE}" pid="22" name="Mendeley Recent Style Id 7_1">
    <vt:lpwstr>http://www.zotero.org/styles/modern-language-association</vt:lpwstr>
  </property>
  <property fmtid="{D5CDD505-2E9C-101B-9397-08002B2CF9AE}" pid="23" name="Mendeley Recent Style Name 7_1">
    <vt:lpwstr>Modern Language Association 7th edition</vt:lpwstr>
  </property>
  <property fmtid="{D5CDD505-2E9C-101B-9397-08002B2CF9AE}" pid="24" name="Mendeley Recent Style Id 8_1">
    <vt:lpwstr>http://www.zotero.org/styles/nature</vt:lpwstr>
  </property>
  <property fmtid="{D5CDD505-2E9C-101B-9397-08002B2CF9AE}" pid="25" name="Mendeley Recent Style Name 8_1">
    <vt:lpwstr>Nature</vt:lpwstr>
  </property>
  <property fmtid="{D5CDD505-2E9C-101B-9397-08002B2CF9AE}" pid="26" name="Mendeley Recent Style Id 9_1">
    <vt:lpwstr>http://www.zotero.org/styles/royal-society-of-chemistry</vt:lpwstr>
  </property>
  <property fmtid="{D5CDD505-2E9C-101B-9397-08002B2CF9AE}" pid="27" name="Mendeley Recent Style Name 9_1">
    <vt:lpwstr>Royal Society of Chemistry</vt:lpwstr>
  </property>
</Properties>
</file>