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2968" w:rsidRDefault="00572968" w:rsidP="00572968">
      <w:pPr>
        <w:jc w:val="right"/>
        <w:rPr>
          <w:b/>
          <w:color w:val="FF0000"/>
          <w:u w:val="single"/>
        </w:rPr>
      </w:pPr>
    </w:p>
    <w:p w:rsidR="00572968" w:rsidRPr="0088268B" w:rsidRDefault="00572968" w:rsidP="00572968">
      <w:pPr>
        <w:jc w:val="right"/>
        <w:rPr>
          <w:b/>
          <w:sz w:val="2"/>
          <w:szCs w:val="2"/>
        </w:rPr>
      </w:pPr>
    </w:p>
    <w:p w:rsidR="00AE3E37" w:rsidRPr="000E4D6B" w:rsidRDefault="0081696A" w:rsidP="007731CB">
      <w:pPr>
        <w:pStyle w:val="Heading1"/>
        <w:spacing w:before="170"/>
        <w:ind w:left="0"/>
        <w:jc w:val="lowKashida"/>
        <w:rPr>
          <w:sz w:val="32"/>
        </w:rPr>
      </w:pPr>
      <w:r>
        <w:rPr>
          <w:color w:val="337AB7"/>
          <w:sz w:val="32"/>
        </w:rPr>
        <w:t xml:space="preserve">Evaluation of </w:t>
      </w:r>
      <w:r w:rsidR="000C014A">
        <w:rPr>
          <w:color w:val="337AB7"/>
          <w:sz w:val="32"/>
        </w:rPr>
        <w:t xml:space="preserve">the </w:t>
      </w:r>
      <w:r>
        <w:rPr>
          <w:color w:val="337AB7"/>
          <w:sz w:val="32"/>
        </w:rPr>
        <w:t xml:space="preserve">dermal toxicity </w:t>
      </w:r>
      <w:r w:rsidR="000C014A">
        <w:rPr>
          <w:color w:val="337AB7"/>
          <w:sz w:val="32"/>
        </w:rPr>
        <w:t xml:space="preserve">of silver nanoparticles (AgNPs) </w:t>
      </w:r>
      <w:r>
        <w:rPr>
          <w:color w:val="337AB7"/>
          <w:sz w:val="32"/>
        </w:rPr>
        <w:t>on human fibrob</w:t>
      </w:r>
      <w:r w:rsidR="009D6C7C">
        <w:rPr>
          <w:color w:val="337AB7"/>
          <w:sz w:val="32"/>
        </w:rPr>
        <w:t>last</w:t>
      </w:r>
      <w:r w:rsidR="00DE12F6">
        <w:rPr>
          <w:color w:val="337AB7"/>
          <w:sz w:val="32"/>
        </w:rPr>
        <w:t>s</w:t>
      </w:r>
      <w:r w:rsidR="009D6C7C">
        <w:rPr>
          <w:color w:val="337AB7"/>
          <w:sz w:val="32"/>
        </w:rPr>
        <w:t xml:space="preserve"> and </w:t>
      </w:r>
      <w:r w:rsidR="009D6C7C" w:rsidRPr="009D6C7C">
        <w:rPr>
          <w:color w:val="337AB7"/>
          <w:sz w:val="32"/>
        </w:rPr>
        <w:t>human keratinocytes cells</w:t>
      </w:r>
      <w:r w:rsidR="00200B65">
        <w:rPr>
          <w:color w:val="337AB7"/>
          <w:sz w:val="32"/>
        </w:rPr>
        <w:t xml:space="preserve"> as </w:t>
      </w:r>
      <w:r w:rsidRPr="0081696A">
        <w:rPr>
          <w:i/>
          <w:iCs/>
          <w:color w:val="337AB7"/>
          <w:sz w:val="32"/>
        </w:rPr>
        <w:t>in vitro</w:t>
      </w:r>
      <w:r w:rsidR="00200B65">
        <w:rPr>
          <w:sz w:val="32"/>
        </w:rPr>
        <w:t xml:space="preserve"> </w:t>
      </w:r>
      <w:r w:rsidR="00200B65" w:rsidRPr="00200B65">
        <w:rPr>
          <w:color w:val="337AB7"/>
          <w:sz w:val="32"/>
        </w:rPr>
        <w:t>model</w:t>
      </w:r>
      <w:r w:rsidR="009D6C7C">
        <w:rPr>
          <w:color w:val="337AB7"/>
          <w:sz w:val="32"/>
        </w:rPr>
        <w:t>s</w:t>
      </w:r>
    </w:p>
    <w:p w:rsidR="0081696A" w:rsidRPr="000C014A" w:rsidRDefault="00D30E41" w:rsidP="00D30E41">
      <w:pPr>
        <w:pStyle w:val="BodyText"/>
        <w:spacing w:before="73" w:line="198" w:lineRule="exact"/>
        <w:ind w:left="100" w:right="1334"/>
        <w:jc w:val="lowKashida"/>
        <w:rPr>
          <w:rFonts w:ascii="Arial"/>
        </w:rPr>
      </w:pPr>
      <w:r w:rsidRPr="000C014A">
        <w:rPr>
          <w:rFonts w:ascii="Arial"/>
        </w:rPr>
        <w:t xml:space="preserve">Ashraf O. Abdellatif </w:t>
      </w:r>
      <w:r w:rsidR="000C014A" w:rsidRPr="000C014A">
        <w:rPr>
          <w:rFonts w:ascii="Arial"/>
          <w:b/>
          <w:bCs/>
          <w:vertAlign w:val="superscript"/>
        </w:rPr>
        <w:t>1</w:t>
      </w:r>
      <w:r w:rsidR="005973B9" w:rsidRPr="000C014A">
        <w:rPr>
          <w:rFonts w:ascii="Arial"/>
        </w:rPr>
        <w:t xml:space="preserve">, </w:t>
      </w:r>
      <w:proofErr w:type="spellStart"/>
      <w:r w:rsidRPr="000C014A">
        <w:rPr>
          <w:rFonts w:ascii="Arial"/>
        </w:rPr>
        <w:t>Khallad</w:t>
      </w:r>
      <w:proofErr w:type="spellEnd"/>
      <w:r w:rsidRPr="000C014A">
        <w:rPr>
          <w:rFonts w:ascii="Arial"/>
        </w:rPr>
        <w:t xml:space="preserve"> Mubarak Ahmed </w:t>
      </w:r>
      <w:proofErr w:type="spellStart"/>
      <w:r w:rsidRPr="000C014A">
        <w:rPr>
          <w:rFonts w:ascii="Arial"/>
        </w:rPr>
        <w:t>Elbas</w:t>
      </w:r>
      <w:r>
        <w:rPr>
          <w:rFonts w:ascii="Arial"/>
        </w:rPr>
        <w:t>h</w:t>
      </w:r>
      <w:r w:rsidRPr="000C014A">
        <w:rPr>
          <w:rFonts w:ascii="Arial"/>
        </w:rPr>
        <w:t>ir</w:t>
      </w:r>
      <w:proofErr w:type="spellEnd"/>
      <w:r w:rsidRPr="000C014A">
        <w:rPr>
          <w:rFonts w:ascii="Arial"/>
        </w:rPr>
        <w:t xml:space="preserve"> </w:t>
      </w:r>
      <w:r w:rsidR="000C014A" w:rsidRPr="000C014A">
        <w:rPr>
          <w:rFonts w:ascii="Arial"/>
          <w:b/>
          <w:bCs/>
          <w:vertAlign w:val="superscript"/>
        </w:rPr>
        <w:t>2</w:t>
      </w:r>
    </w:p>
    <w:p w:rsidR="007731CB" w:rsidRPr="007731CB" w:rsidRDefault="007731CB" w:rsidP="007731CB">
      <w:pPr>
        <w:pStyle w:val="BodyText"/>
        <w:spacing w:before="73" w:line="198" w:lineRule="exact"/>
        <w:ind w:right="1334"/>
        <w:jc w:val="lowKashida"/>
        <w:rPr>
          <w:rFonts w:ascii="Arial"/>
          <w:b/>
          <w:bCs/>
          <w:sz w:val="10"/>
          <w:szCs w:val="10"/>
          <w:vertAlign w:val="superscript"/>
        </w:rPr>
      </w:pPr>
    </w:p>
    <w:p w:rsidR="000C014A" w:rsidRPr="000C014A" w:rsidRDefault="000C014A" w:rsidP="00662445">
      <w:pPr>
        <w:pStyle w:val="BodyText"/>
        <w:spacing w:before="73" w:line="198" w:lineRule="exact"/>
        <w:ind w:left="100" w:right="1334"/>
        <w:jc w:val="lowKashida"/>
        <w:rPr>
          <w:rFonts w:ascii="Arial"/>
        </w:rPr>
      </w:pPr>
      <w:r w:rsidRPr="00662445">
        <w:rPr>
          <w:rFonts w:ascii="Arial"/>
          <w:b/>
          <w:bCs/>
          <w:vertAlign w:val="superscript"/>
        </w:rPr>
        <w:t>1</w:t>
      </w:r>
      <w:r>
        <w:rPr>
          <w:rFonts w:ascii="Arial"/>
        </w:rPr>
        <w:t xml:space="preserve"> </w:t>
      </w:r>
      <w:r w:rsidR="00D30E41" w:rsidRPr="000C014A">
        <w:rPr>
          <w:rFonts w:ascii="Arial"/>
        </w:rPr>
        <w:t>Microbiology and Immunology Department, Faculty of Pharmacy</w:t>
      </w:r>
      <w:r w:rsidR="00D30E41">
        <w:rPr>
          <w:rFonts w:ascii="Arial"/>
        </w:rPr>
        <w:t xml:space="preserve">, </w:t>
      </w:r>
      <w:proofErr w:type="spellStart"/>
      <w:r w:rsidR="00662445">
        <w:rPr>
          <w:rFonts w:ascii="Arial"/>
        </w:rPr>
        <w:t>Karary</w:t>
      </w:r>
      <w:proofErr w:type="spellEnd"/>
      <w:r w:rsidR="00D30E41">
        <w:rPr>
          <w:rFonts w:ascii="Arial"/>
        </w:rPr>
        <w:t xml:space="preserve"> University</w:t>
      </w:r>
      <w:r w:rsidR="00662445">
        <w:rPr>
          <w:rFonts w:ascii="Arial"/>
        </w:rPr>
        <w:t xml:space="preserve">, Khartoum, Sudan </w:t>
      </w:r>
    </w:p>
    <w:p w:rsidR="00AE3E37" w:rsidRDefault="000C014A" w:rsidP="00D30E41">
      <w:pPr>
        <w:pStyle w:val="BodyText"/>
        <w:spacing w:before="73" w:line="198" w:lineRule="exact"/>
        <w:ind w:left="100" w:right="1334"/>
        <w:rPr>
          <w:rFonts w:ascii="Arial"/>
          <w:sz w:val="20"/>
        </w:rPr>
      </w:pPr>
      <w:r w:rsidRPr="000C014A">
        <w:rPr>
          <w:rFonts w:ascii="Arial"/>
          <w:b/>
          <w:bCs/>
          <w:vertAlign w:val="superscript"/>
        </w:rPr>
        <w:t>2</w:t>
      </w:r>
      <w:r w:rsidRPr="000C014A">
        <w:rPr>
          <w:rFonts w:ascii="Arial"/>
        </w:rPr>
        <w:t xml:space="preserve"> </w:t>
      </w:r>
      <w:r w:rsidR="00662445" w:rsidRPr="000C014A">
        <w:rPr>
          <w:rFonts w:ascii="Arial"/>
        </w:rPr>
        <w:t xml:space="preserve">Pharmacology and </w:t>
      </w:r>
      <w:r w:rsidR="00662445">
        <w:rPr>
          <w:rFonts w:ascii="Arial"/>
        </w:rPr>
        <w:t>T</w:t>
      </w:r>
      <w:r w:rsidR="00D30E41" w:rsidRPr="000C014A">
        <w:rPr>
          <w:rFonts w:ascii="Arial"/>
        </w:rPr>
        <w:t>oxicology Department, Faculty of Pharmacy, Omdurman Islamic University, Khartoum, Sudan</w:t>
      </w:r>
    </w:p>
    <w:p w:rsidR="00AE3E37" w:rsidRDefault="00AE3E37">
      <w:pPr>
        <w:pStyle w:val="BodyText"/>
        <w:spacing w:before="3"/>
        <w:rPr>
          <w:rFonts w:ascii="Arial"/>
          <w:sz w:val="21"/>
        </w:rPr>
      </w:pPr>
    </w:p>
    <w:p w:rsidR="00AE3E37" w:rsidRPr="0088268B" w:rsidRDefault="00AE3E37">
      <w:pPr>
        <w:rPr>
          <w:rFonts w:ascii="Arial"/>
          <w:sz w:val="13"/>
          <w:szCs w:val="14"/>
        </w:rPr>
        <w:sectPr w:rsidR="00AE3E37" w:rsidRPr="0088268B" w:rsidSect="00375C34">
          <w:footerReference w:type="default" r:id="rId7"/>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p>
    <w:p w:rsidR="00AE3E37" w:rsidRDefault="0088268B" w:rsidP="0088268B">
      <w:pPr>
        <w:pStyle w:val="BodyText"/>
        <w:spacing w:before="90" w:line="280" w:lineRule="auto"/>
        <w:ind w:left="100"/>
        <w:jc w:val="both"/>
      </w:pPr>
      <w:r w:rsidRPr="0088268B">
        <w:t>Nanotechnology is an interdisciplinary science that has developed rapidly in recent years. silver nanoparticles (AgNPs) are increasingly utilized in dermatology and cosmetology, because of their unique properties. However, skin exposure to AgNPs raises concerns regarding their transdermal toxicity. The skin is the largest organ of the human body and is composed of the epidermis and dermis and forming a physical barrier against toxins and pathogens. Recent studies have found that nanoparticles can pass through the skin barrier into deeper layers and may cause toxic side effects.</w:t>
      </w:r>
      <w:r>
        <w:t xml:space="preserve"> </w:t>
      </w:r>
      <w:r w:rsidRPr="0088268B">
        <w:t xml:space="preserve">This study was designed to evaluate the dermal toxicity of AgNPs in vitro by using the human lung fibroblasts (MRC-5) and human keratinocytes (HaCat) cells as representative models. The cell viability was determined by MTT assay where 20 </w:t>
      </w:r>
      <w:proofErr w:type="spellStart"/>
      <w:r w:rsidRPr="0088268B">
        <w:rPr>
          <w:rFonts w:ascii="Calibri" w:hAnsi="Calibri" w:cs="Calibri"/>
        </w:rPr>
        <w:t>μ</w:t>
      </w:r>
      <w:r w:rsidRPr="0088268B">
        <w:t>l</w:t>
      </w:r>
      <w:proofErr w:type="spellEnd"/>
      <w:r w:rsidRPr="0088268B">
        <w:t xml:space="preserve"> of MTT was added to each well and incubated for 4 h at 37°C. The cytotoxicity assay was followed by cell cycle analysis using flow-cytometry where tested cells were treated with AgNPs for 24 h at their respective IC</w:t>
      </w:r>
      <w:r w:rsidRPr="003B051E">
        <w:rPr>
          <w:vertAlign w:val="subscript"/>
        </w:rPr>
        <w:t>50</w:t>
      </w:r>
      <w:r w:rsidRPr="0088268B">
        <w:t xml:space="preserve"> concentrations and processed for analysis.</w:t>
      </w:r>
      <w:r>
        <w:t xml:space="preserve"> </w:t>
      </w:r>
      <w:r w:rsidRPr="0088268B">
        <w:t xml:space="preserve">The </w:t>
      </w:r>
      <w:r w:rsidR="003B051E">
        <w:t xml:space="preserve">results indicated </w:t>
      </w:r>
      <w:r w:rsidRPr="0088268B">
        <w:t>concentration-dependent toxicity on both MRC-5 and HaCat cells after treatment with different concentrations of AgNPs. The cell cycle analysis showed an increase in the percentage of apoptotic cells in both MRC-5 and HaCat cells after AgNPs treatment, as indicated by their sub-G1 phase proportions (27.5% and 22.3%, respectively); there was also an accumulation of arrested cells in the G2/M phase when compared to controls.</w:t>
      </w:r>
      <w:r>
        <w:t xml:space="preserve"> </w:t>
      </w:r>
      <w:r w:rsidRPr="0088268B">
        <w:t>In the MRC-5 control, 61.3% of cells were in G0/G1 phase, 20.4% in S phase, and 13.1% in G2/M phase. In contrast, for MRC-5 cells treated with the IC</w:t>
      </w:r>
      <w:r w:rsidRPr="003B051E">
        <w:rPr>
          <w:vertAlign w:val="subscript"/>
        </w:rPr>
        <w:t>50</w:t>
      </w:r>
      <w:r w:rsidRPr="0088268B">
        <w:t xml:space="preserve"> of AgNPs, the proportions of cells in the G0/G1, S, and G2/M phases were 28.3%, 14.4%, and 29.8%, respectively.</w:t>
      </w:r>
    </w:p>
    <w:p w:rsidR="00BD40D4" w:rsidRPr="0088268B" w:rsidRDefault="00BD40D4" w:rsidP="00DF76E0">
      <w:pPr>
        <w:pStyle w:val="Heading3"/>
        <w:spacing w:before="74"/>
        <w:ind w:left="0"/>
        <w:rPr>
          <w:b w:val="0"/>
          <w:sz w:val="4"/>
          <w:szCs w:val="4"/>
        </w:rPr>
      </w:pPr>
    </w:p>
    <w:p w:rsidR="00BD40D4" w:rsidRPr="00661015" w:rsidRDefault="00BD40D4" w:rsidP="00572968">
      <w:pPr>
        <w:jc w:val="lowKashida"/>
        <w:rPr>
          <w:b/>
          <w:color w:val="000000"/>
        </w:rPr>
      </w:pPr>
      <w:r w:rsidRPr="009E0D6C">
        <w:rPr>
          <w:b/>
          <w:color w:val="000000"/>
        </w:rPr>
        <w:t>Key words:</w:t>
      </w:r>
      <w:r>
        <w:rPr>
          <w:b/>
          <w:color w:val="000000"/>
        </w:rPr>
        <w:t xml:space="preserve"> </w:t>
      </w:r>
      <w:r w:rsidR="00572968">
        <w:rPr>
          <w:color w:val="000000"/>
        </w:rPr>
        <w:t>Dermal toxicity</w:t>
      </w:r>
      <w:r w:rsidRPr="00661015">
        <w:rPr>
          <w:color w:val="000000"/>
        </w:rPr>
        <w:t xml:space="preserve">, </w:t>
      </w:r>
      <w:r w:rsidR="00572968">
        <w:rPr>
          <w:color w:val="000000"/>
        </w:rPr>
        <w:t>silver nanoparticles</w:t>
      </w:r>
      <w:r w:rsidRPr="00661015">
        <w:rPr>
          <w:color w:val="000000"/>
        </w:rPr>
        <w:t xml:space="preserve">, </w:t>
      </w:r>
      <w:r w:rsidR="00572968">
        <w:rPr>
          <w:color w:val="000000"/>
        </w:rPr>
        <w:t>human fibroblast</w:t>
      </w:r>
      <w:r w:rsidR="00DE12F6">
        <w:rPr>
          <w:color w:val="000000"/>
        </w:rPr>
        <w:t>s</w:t>
      </w:r>
      <w:r w:rsidR="00572968">
        <w:rPr>
          <w:color w:val="000000"/>
        </w:rPr>
        <w:t xml:space="preserve"> cell</w:t>
      </w:r>
      <w:r w:rsidR="00DE12F6">
        <w:rPr>
          <w:color w:val="000000"/>
        </w:rPr>
        <w:t>s</w:t>
      </w:r>
      <w:r w:rsidRPr="00661015">
        <w:rPr>
          <w:color w:val="000000"/>
        </w:rPr>
        <w:t>,</w:t>
      </w:r>
      <w:r w:rsidR="00572968">
        <w:rPr>
          <w:color w:val="000000"/>
        </w:rPr>
        <w:t xml:space="preserve"> </w:t>
      </w:r>
      <w:r w:rsidR="00DE12F6">
        <w:rPr>
          <w:color w:val="000000"/>
        </w:rPr>
        <w:t xml:space="preserve">human keratinocytes, </w:t>
      </w:r>
      <w:r w:rsidR="00572968">
        <w:rPr>
          <w:color w:val="000000"/>
        </w:rPr>
        <w:t>MTT assay,</w:t>
      </w:r>
      <w:r w:rsidRPr="00661015">
        <w:rPr>
          <w:color w:val="000000"/>
        </w:rPr>
        <w:t xml:space="preserve"> </w:t>
      </w:r>
      <w:r w:rsidR="00572968">
        <w:rPr>
          <w:color w:val="000000"/>
        </w:rPr>
        <w:t>cell cycle analysis</w:t>
      </w:r>
      <w:r w:rsidRPr="00661015">
        <w:rPr>
          <w:color w:val="000000"/>
        </w:rPr>
        <w:t xml:space="preserve">, </w:t>
      </w:r>
      <w:r w:rsidR="00572968">
        <w:rPr>
          <w:color w:val="000000"/>
        </w:rPr>
        <w:t>flow cytometry</w:t>
      </w:r>
      <w:r w:rsidR="000C014A">
        <w:rPr>
          <w:b/>
          <w:color w:val="000000"/>
        </w:rPr>
        <w:t xml:space="preserve">, </w:t>
      </w:r>
      <w:r w:rsidR="000C014A" w:rsidRPr="000C014A">
        <w:rPr>
          <w:i/>
          <w:iCs/>
          <w:color w:val="000000"/>
        </w:rPr>
        <w:t>in vitro</w:t>
      </w:r>
    </w:p>
    <w:p w:rsidR="0088268B" w:rsidRPr="0088268B" w:rsidRDefault="00A9710C" w:rsidP="000C014A">
      <w:pPr>
        <w:pStyle w:val="Heading3"/>
        <w:spacing w:before="74"/>
        <w:ind w:left="0"/>
        <w:rPr>
          <w:color w:val="BF5A14"/>
          <w:sz w:val="16"/>
          <w:szCs w:val="16"/>
        </w:rPr>
      </w:pPr>
      <w:r>
        <w:rPr>
          <w:b w:val="0"/>
        </w:rPr>
        <w:br w:type="column"/>
      </w:r>
      <w:r w:rsidR="005973B9">
        <w:rPr>
          <w:color w:val="BF5A14"/>
        </w:rPr>
        <w:lastRenderedPageBreak/>
        <w:br/>
      </w:r>
    </w:p>
    <w:p w:rsidR="0088268B" w:rsidRPr="0088268B" w:rsidRDefault="0088268B" w:rsidP="0088268B">
      <w:pPr>
        <w:spacing w:line="360" w:lineRule="auto"/>
        <w:jc w:val="lowKashida"/>
        <w:rPr>
          <w:sz w:val="18"/>
          <w:szCs w:val="18"/>
        </w:rPr>
      </w:pPr>
      <w:r w:rsidRPr="0088268B">
        <w:rPr>
          <w:sz w:val="18"/>
          <w:szCs w:val="18"/>
        </w:rPr>
        <w:t>In the HaCat control, 72.5% of cells were in G0/G1 phase, 11.3% of cells in S phase, and 10.6% of cells in G2/M phase. After treatment with AgNPs, the proportions of HaCat cells in G0/G1, S, and G2/M phases were 17.2%, 19.1%, and 41.4%, respectively. Overall, these findings suggest that AgNPs caused a concentration-dependent toxicity on both MRC-5 and HaCat cells, moreover, AgNPs inhibited the growth of MRC-5 and HaCat cells by blocking the cell cycle at G2/M phase. Together with previously published data, the unique properties of AgNPs, further in vivo experiments are required to better evaluate the toxicity of AgNPs associated with their shape, sizes and distribution.</w:t>
      </w:r>
    </w:p>
    <w:p w:rsidR="005973B9" w:rsidRPr="000C014A" w:rsidRDefault="0088268B" w:rsidP="000C014A">
      <w:pPr>
        <w:pStyle w:val="Heading3"/>
        <w:spacing w:before="74"/>
        <w:ind w:left="0"/>
      </w:pPr>
      <w:r>
        <w:rPr>
          <w:color w:val="BF5A14"/>
        </w:rPr>
        <w:t>Recent Publications</w:t>
      </w:r>
    </w:p>
    <w:p w:rsidR="0088268B" w:rsidRPr="00400DF9" w:rsidRDefault="0088268B" w:rsidP="0088268B">
      <w:pPr>
        <w:pStyle w:val="EndNoteBibliography"/>
        <w:numPr>
          <w:ilvl w:val="0"/>
          <w:numId w:val="3"/>
        </w:numPr>
        <w:tabs>
          <w:tab w:val="right" w:pos="709"/>
        </w:tabs>
        <w:bidi w:val="0"/>
        <w:spacing w:after="0" w:line="276" w:lineRule="auto"/>
        <w:rPr>
          <w:rFonts w:eastAsia="Calibri" w:cs="Arial"/>
          <w:noProof w:val="0"/>
          <w:sz w:val="18"/>
        </w:rPr>
      </w:pPr>
      <w:proofErr w:type="spellStart"/>
      <w:r w:rsidRPr="00400DF9">
        <w:rPr>
          <w:rFonts w:eastAsia="Calibri" w:cs="Arial"/>
          <w:noProof w:val="0"/>
          <w:sz w:val="18"/>
        </w:rPr>
        <w:t>Asharani</w:t>
      </w:r>
      <w:proofErr w:type="spellEnd"/>
      <w:r w:rsidRPr="00400DF9">
        <w:rPr>
          <w:rFonts w:eastAsia="Calibri" w:cs="Arial"/>
          <w:noProof w:val="0"/>
          <w:sz w:val="18"/>
        </w:rPr>
        <w:t xml:space="preserve">, P., Wu, Y.L., Gong, Z., </w:t>
      </w:r>
      <w:proofErr w:type="spellStart"/>
      <w:r w:rsidRPr="00400DF9">
        <w:rPr>
          <w:rFonts w:eastAsia="Calibri" w:cs="Arial"/>
          <w:noProof w:val="0"/>
          <w:sz w:val="18"/>
        </w:rPr>
        <w:t>Valiyaveettil</w:t>
      </w:r>
      <w:proofErr w:type="spellEnd"/>
      <w:r w:rsidRPr="00400DF9">
        <w:rPr>
          <w:rFonts w:eastAsia="Calibri" w:cs="Arial"/>
          <w:noProof w:val="0"/>
          <w:sz w:val="18"/>
        </w:rPr>
        <w:t>, S., 2008: Toxicity of silver nanoparticles in zebrafish models. Nanotechnology. 19, 255102.</w:t>
      </w:r>
    </w:p>
    <w:p w:rsidR="0088268B" w:rsidRPr="00400DF9" w:rsidRDefault="0088268B" w:rsidP="0088268B">
      <w:pPr>
        <w:pStyle w:val="EndNoteBibliography"/>
        <w:numPr>
          <w:ilvl w:val="0"/>
          <w:numId w:val="3"/>
        </w:numPr>
        <w:tabs>
          <w:tab w:val="right" w:pos="709"/>
        </w:tabs>
        <w:bidi w:val="0"/>
        <w:spacing w:after="0" w:line="276" w:lineRule="auto"/>
        <w:rPr>
          <w:rFonts w:eastAsia="Calibri" w:cs="Arial"/>
          <w:noProof w:val="0"/>
          <w:sz w:val="18"/>
        </w:rPr>
      </w:pPr>
      <w:r w:rsidRPr="00400DF9">
        <w:rPr>
          <w:rFonts w:eastAsia="Calibri" w:cs="Arial"/>
          <w:noProof w:val="0"/>
          <w:sz w:val="18"/>
        </w:rPr>
        <w:t xml:space="preserve">Beer, C., </w:t>
      </w:r>
      <w:proofErr w:type="spellStart"/>
      <w:r w:rsidRPr="00400DF9">
        <w:rPr>
          <w:rFonts w:eastAsia="Calibri" w:cs="Arial"/>
          <w:noProof w:val="0"/>
          <w:sz w:val="18"/>
        </w:rPr>
        <w:t>Foldbjerg</w:t>
      </w:r>
      <w:proofErr w:type="spellEnd"/>
      <w:r w:rsidRPr="00400DF9">
        <w:rPr>
          <w:rFonts w:eastAsia="Calibri" w:cs="Arial"/>
          <w:noProof w:val="0"/>
          <w:sz w:val="18"/>
        </w:rPr>
        <w:t xml:space="preserve">, R., Hayashi, Y., Sutherland, D.S., </w:t>
      </w:r>
      <w:proofErr w:type="spellStart"/>
      <w:r w:rsidRPr="00400DF9">
        <w:rPr>
          <w:rFonts w:eastAsia="Calibri" w:cs="Arial"/>
          <w:noProof w:val="0"/>
          <w:sz w:val="18"/>
        </w:rPr>
        <w:t>Autrup</w:t>
      </w:r>
      <w:proofErr w:type="spellEnd"/>
      <w:r w:rsidRPr="00400DF9">
        <w:rPr>
          <w:rFonts w:eastAsia="Calibri" w:cs="Arial"/>
          <w:noProof w:val="0"/>
          <w:sz w:val="18"/>
        </w:rPr>
        <w:t xml:space="preserve">, H., 2012: Toxicity of silver nanoparticles, nanoparticle or silver </w:t>
      </w:r>
      <w:proofErr w:type="gramStart"/>
      <w:r w:rsidRPr="00400DF9">
        <w:rPr>
          <w:rFonts w:eastAsia="Calibri" w:cs="Arial"/>
          <w:noProof w:val="0"/>
          <w:sz w:val="18"/>
        </w:rPr>
        <w:t>ion?.</w:t>
      </w:r>
      <w:proofErr w:type="gramEnd"/>
      <w:r w:rsidRPr="00400DF9">
        <w:rPr>
          <w:rFonts w:eastAsia="Calibri" w:cs="Arial"/>
          <w:noProof w:val="0"/>
          <w:sz w:val="18"/>
        </w:rPr>
        <w:t xml:space="preserve"> </w:t>
      </w:r>
      <w:proofErr w:type="spellStart"/>
      <w:r w:rsidRPr="00400DF9">
        <w:rPr>
          <w:rFonts w:eastAsia="Calibri" w:cs="Arial"/>
          <w:noProof w:val="0"/>
          <w:sz w:val="18"/>
        </w:rPr>
        <w:t>Toxicol</w:t>
      </w:r>
      <w:proofErr w:type="spellEnd"/>
      <w:r w:rsidRPr="00400DF9">
        <w:rPr>
          <w:rFonts w:eastAsia="Calibri" w:cs="Arial"/>
          <w:noProof w:val="0"/>
          <w:sz w:val="18"/>
        </w:rPr>
        <w:t xml:space="preserve"> Lett. 208, 286-292.</w:t>
      </w:r>
    </w:p>
    <w:p w:rsidR="0088268B" w:rsidRPr="00400DF9" w:rsidRDefault="0088268B" w:rsidP="0088268B">
      <w:pPr>
        <w:pStyle w:val="EndNoteBibliography"/>
        <w:numPr>
          <w:ilvl w:val="0"/>
          <w:numId w:val="3"/>
        </w:numPr>
        <w:tabs>
          <w:tab w:val="right" w:pos="709"/>
        </w:tabs>
        <w:bidi w:val="0"/>
        <w:spacing w:after="0" w:line="276" w:lineRule="auto"/>
        <w:rPr>
          <w:rFonts w:eastAsia="Calibri" w:cs="Arial"/>
          <w:noProof w:val="0"/>
          <w:sz w:val="18"/>
        </w:rPr>
      </w:pPr>
      <w:r w:rsidRPr="00400DF9">
        <w:rPr>
          <w:rFonts w:eastAsia="Calibri" w:cs="Arial"/>
          <w:noProof w:val="0"/>
          <w:sz w:val="18"/>
        </w:rPr>
        <w:t xml:space="preserve">Gupta, S., Bansal, R., Gupta, S., Jindal, N., Jindal, A., 2013: Nanocarriers and nanoparticles for skin care and dermatological treatments. Indian </w:t>
      </w:r>
      <w:proofErr w:type="spellStart"/>
      <w:r w:rsidRPr="00400DF9">
        <w:rPr>
          <w:rFonts w:eastAsia="Calibri" w:cs="Arial"/>
          <w:noProof w:val="0"/>
          <w:sz w:val="18"/>
        </w:rPr>
        <w:t>Dermatol</w:t>
      </w:r>
      <w:proofErr w:type="spellEnd"/>
      <w:r w:rsidRPr="00400DF9">
        <w:rPr>
          <w:rFonts w:eastAsia="Calibri" w:cs="Arial"/>
          <w:noProof w:val="0"/>
          <w:sz w:val="18"/>
        </w:rPr>
        <w:t xml:space="preserve"> Online J. 4, 267-272.</w:t>
      </w:r>
    </w:p>
    <w:p w:rsidR="0088268B" w:rsidRPr="00400DF9" w:rsidRDefault="0088268B" w:rsidP="0088268B">
      <w:pPr>
        <w:pStyle w:val="EndNoteBibliography"/>
        <w:numPr>
          <w:ilvl w:val="0"/>
          <w:numId w:val="3"/>
        </w:numPr>
        <w:tabs>
          <w:tab w:val="right" w:pos="360"/>
          <w:tab w:val="right" w:pos="709"/>
        </w:tabs>
        <w:bidi w:val="0"/>
        <w:spacing w:after="0" w:line="276" w:lineRule="auto"/>
        <w:rPr>
          <w:rFonts w:eastAsia="Calibri" w:cs="Arial"/>
          <w:noProof w:val="0"/>
          <w:sz w:val="18"/>
        </w:rPr>
      </w:pPr>
      <w:proofErr w:type="spellStart"/>
      <w:r w:rsidRPr="00400DF9">
        <w:rPr>
          <w:rFonts w:eastAsia="Calibri" w:cs="Arial"/>
          <w:noProof w:val="0"/>
          <w:sz w:val="18"/>
        </w:rPr>
        <w:t>Neubert</w:t>
      </w:r>
      <w:proofErr w:type="spellEnd"/>
      <w:r w:rsidRPr="00400DF9">
        <w:rPr>
          <w:rFonts w:eastAsia="Calibri" w:cs="Arial"/>
          <w:noProof w:val="0"/>
          <w:sz w:val="18"/>
        </w:rPr>
        <w:t xml:space="preserve">, R.H., 2011: Potentials of new nanocarriers for dermal and transdermal drug delivery. </w:t>
      </w:r>
      <w:proofErr w:type="spellStart"/>
      <w:r w:rsidRPr="00400DF9">
        <w:rPr>
          <w:rFonts w:eastAsia="Calibri" w:cs="Arial"/>
          <w:noProof w:val="0"/>
          <w:sz w:val="18"/>
        </w:rPr>
        <w:t>Eur</w:t>
      </w:r>
      <w:proofErr w:type="spellEnd"/>
      <w:r w:rsidRPr="00400DF9">
        <w:rPr>
          <w:rFonts w:eastAsia="Calibri" w:cs="Arial"/>
          <w:noProof w:val="0"/>
          <w:sz w:val="18"/>
        </w:rPr>
        <w:t xml:space="preserve"> J Pharm </w:t>
      </w:r>
      <w:proofErr w:type="spellStart"/>
      <w:r w:rsidRPr="00400DF9">
        <w:rPr>
          <w:rFonts w:eastAsia="Calibri" w:cs="Arial"/>
          <w:noProof w:val="0"/>
          <w:sz w:val="18"/>
        </w:rPr>
        <w:t>Biopharm</w:t>
      </w:r>
      <w:proofErr w:type="spellEnd"/>
      <w:r w:rsidRPr="00400DF9">
        <w:rPr>
          <w:rFonts w:eastAsia="Calibri" w:cs="Arial"/>
          <w:noProof w:val="0"/>
          <w:sz w:val="18"/>
        </w:rPr>
        <w:t>. 77, 1-2.</w:t>
      </w:r>
    </w:p>
    <w:p w:rsidR="0088268B" w:rsidRPr="00400DF9" w:rsidRDefault="0088268B" w:rsidP="0088268B">
      <w:pPr>
        <w:pStyle w:val="EndNoteBibliography"/>
        <w:numPr>
          <w:ilvl w:val="0"/>
          <w:numId w:val="3"/>
        </w:numPr>
        <w:tabs>
          <w:tab w:val="right" w:pos="360"/>
          <w:tab w:val="right" w:pos="709"/>
        </w:tabs>
        <w:bidi w:val="0"/>
        <w:spacing w:after="0" w:line="276" w:lineRule="auto"/>
        <w:rPr>
          <w:rFonts w:eastAsia="Calibri" w:cs="Arial"/>
          <w:noProof w:val="0"/>
          <w:sz w:val="18"/>
        </w:rPr>
      </w:pPr>
      <w:proofErr w:type="spellStart"/>
      <w:r w:rsidRPr="00400DF9">
        <w:rPr>
          <w:rFonts w:eastAsia="Calibri" w:cs="Arial"/>
          <w:noProof w:val="0"/>
          <w:sz w:val="18"/>
        </w:rPr>
        <w:t>Prabhu</w:t>
      </w:r>
      <w:proofErr w:type="spellEnd"/>
      <w:r w:rsidRPr="00400DF9">
        <w:rPr>
          <w:rFonts w:eastAsia="Calibri" w:cs="Arial"/>
          <w:noProof w:val="0"/>
          <w:sz w:val="18"/>
        </w:rPr>
        <w:t xml:space="preserve">, S., </w:t>
      </w:r>
      <w:proofErr w:type="spellStart"/>
      <w:r w:rsidRPr="00400DF9">
        <w:rPr>
          <w:rFonts w:eastAsia="Calibri" w:cs="Arial"/>
          <w:noProof w:val="0"/>
          <w:sz w:val="18"/>
        </w:rPr>
        <w:t>Poulose</w:t>
      </w:r>
      <w:proofErr w:type="spellEnd"/>
      <w:r w:rsidRPr="00400DF9">
        <w:rPr>
          <w:rFonts w:eastAsia="Calibri" w:cs="Arial"/>
          <w:noProof w:val="0"/>
          <w:sz w:val="18"/>
        </w:rPr>
        <w:t xml:space="preserve">, E.K., 2012: Silver nanoparticles: mechanism of antimicrobial action, synthesis, medical applications, and toxicity effects. </w:t>
      </w:r>
      <w:proofErr w:type="spellStart"/>
      <w:r w:rsidRPr="00400DF9">
        <w:rPr>
          <w:rFonts w:eastAsia="Calibri" w:cs="Arial"/>
          <w:noProof w:val="0"/>
          <w:sz w:val="18"/>
        </w:rPr>
        <w:t>Int</w:t>
      </w:r>
      <w:proofErr w:type="spellEnd"/>
      <w:r w:rsidRPr="00400DF9">
        <w:rPr>
          <w:rFonts w:eastAsia="Calibri" w:cs="Arial"/>
          <w:noProof w:val="0"/>
          <w:sz w:val="18"/>
        </w:rPr>
        <w:t xml:space="preserve"> Nano Lett. 2, 1-10.</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rPr>
        <w:lastRenderedPageBreak/>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035FE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w10:anchorlock/>
              </v:group>
            </w:pict>
          </mc:Fallback>
        </mc:AlternateContent>
      </w:r>
    </w:p>
    <w:p w:rsidR="00CA404D" w:rsidRDefault="00CA404D" w:rsidP="00A13418">
      <w:pPr>
        <w:rPr>
          <w:b/>
          <w:u w:val="single"/>
          <w:lang w:val="en-N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3"/>
        <w:gridCol w:w="8687"/>
      </w:tblGrid>
      <w:tr w:rsidR="00CA404D" w:rsidTr="00576B33">
        <w:tc>
          <w:tcPr>
            <w:tcW w:w="937" w:type="pct"/>
          </w:tcPr>
          <w:p w:rsidR="00CA404D" w:rsidRDefault="00CA404D" w:rsidP="00865E1C">
            <w:pPr>
              <w:jc w:val="center"/>
            </w:pPr>
            <w:r>
              <w:rPr>
                <w:rFonts w:ascii="Times New Roman" w:hAnsi="Times New Roman" w:cs="Times New Roman"/>
                <w:noProof/>
                <w:color w:val="0000FF"/>
                <w:sz w:val="18"/>
                <w:szCs w:val="18"/>
              </w:rPr>
              <w:drawing>
                <wp:inline distT="0" distB="0" distL="0" distR="0" wp14:anchorId="6A901D72" wp14:editId="35C6848B">
                  <wp:extent cx="1114389" cy="1056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3412" cy="1074677"/>
                          </a:xfrm>
                          <a:prstGeom prst="rect">
                            <a:avLst/>
                          </a:prstGeom>
                          <a:noFill/>
                          <a:ln>
                            <a:noFill/>
                          </a:ln>
                        </pic:spPr>
                      </pic:pic>
                    </a:graphicData>
                  </a:graphic>
                </wp:inline>
              </w:drawing>
            </w:r>
          </w:p>
        </w:tc>
        <w:tc>
          <w:tcPr>
            <w:tcW w:w="4063" w:type="pct"/>
          </w:tcPr>
          <w:p w:rsidR="00CA404D" w:rsidRDefault="00CA404D" w:rsidP="00865E1C">
            <w:pPr>
              <w:spacing w:line="360" w:lineRule="auto"/>
              <w:ind w:left="-76" w:right="231"/>
              <w:jc w:val="lowKashida"/>
              <w:rPr>
                <w:rFonts w:ascii="Arial"/>
                <w:b/>
                <w:bCs/>
                <w:sz w:val="16"/>
                <w:szCs w:val="16"/>
              </w:rPr>
            </w:pPr>
          </w:p>
          <w:p w:rsidR="00CA404D" w:rsidRPr="00CA404D" w:rsidRDefault="00CA404D" w:rsidP="00865E1C">
            <w:pPr>
              <w:spacing w:line="360" w:lineRule="auto"/>
              <w:ind w:left="-76" w:right="231"/>
              <w:jc w:val="lowKashida"/>
              <w:rPr>
                <w:rFonts w:ascii="Arial"/>
                <w:sz w:val="16"/>
                <w:szCs w:val="16"/>
              </w:rPr>
            </w:pPr>
            <w:r w:rsidRPr="00CA404D">
              <w:rPr>
                <w:rFonts w:ascii="Arial"/>
                <w:b/>
                <w:bCs/>
                <w:sz w:val="16"/>
                <w:szCs w:val="16"/>
              </w:rPr>
              <w:t>Dr. Ashraf Osman Abdellatif Mohamed</w:t>
            </w:r>
            <w:r w:rsidRPr="00CA404D">
              <w:rPr>
                <w:rFonts w:ascii="Arial"/>
                <w:sz w:val="16"/>
                <w:szCs w:val="16"/>
              </w:rPr>
              <w:t xml:space="preserve"> has his expertise in field of Microbiology and Immunology and he has published nine papers in reputed journals. Currently he works on developing new strategies in fighting infectious diseases and cancer by using natural compounds.</w:t>
            </w:r>
          </w:p>
          <w:p w:rsidR="00CA404D" w:rsidRDefault="00CA404D" w:rsidP="00865E1C"/>
        </w:tc>
      </w:tr>
      <w:tr w:rsidR="00CA404D" w:rsidTr="00576B33">
        <w:tc>
          <w:tcPr>
            <w:tcW w:w="937" w:type="pct"/>
          </w:tcPr>
          <w:p w:rsidR="00CA404D" w:rsidRDefault="00194CF9" w:rsidP="00865E1C">
            <w:pPr>
              <w:jc w:val="center"/>
            </w:pPr>
            <w:r>
              <w:object w:dxaOrig="5535" w:dyaOrig="6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11" type="#_x0000_t75" style="width:87.75pt;height:78pt" o:ole="">
                  <v:imagedata r:id="rId9" o:title=""/>
                </v:shape>
                <o:OLEObject Type="Embed" ProgID="PBrush" ShapeID="_x0000_i1411" DrawAspect="Content" ObjectID="_1644487723" r:id="rId10"/>
              </w:object>
            </w:r>
          </w:p>
        </w:tc>
        <w:tc>
          <w:tcPr>
            <w:tcW w:w="4063" w:type="pct"/>
          </w:tcPr>
          <w:p w:rsidR="00CA404D" w:rsidRDefault="00CA404D" w:rsidP="00865E1C">
            <w:pPr>
              <w:spacing w:line="360" w:lineRule="auto"/>
              <w:ind w:left="-76" w:right="231"/>
              <w:jc w:val="lowKashida"/>
              <w:rPr>
                <w:rFonts w:ascii="Arial"/>
                <w:b/>
                <w:bCs/>
                <w:sz w:val="16"/>
                <w:szCs w:val="16"/>
              </w:rPr>
            </w:pPr>
          </w:p>
          <w:p w:rsidR="00CA404D" w:rsidRPr="00CA404D" w:rsidRDefault="00CA404D" w:rsidP="00865E1C">
            <w:pPr>
              <w:spacing w:line="360" w:lineRule="auto"/>
              <w:ind w:left="-76" w:right="231"/>
              <w:jc w:val="lowKashida"/>
              <w:rPr>
                <w:rFonts w:ascii="Arial"/>
                <w:sz w:val="16"/>
                <w:szCs w:val="16"/>
              </w:rPr>
            </w:pPr>
            <w:proofErr w:type="spellStart"/>
            <w:r w:rsidRPr="00CA404D">
              <w:rPr>
                <w:rFonts w:ascii="Arial"/>
                <w:b/>
                <w:bCs/>
                <w:sz w:val="16"/>
                <w:szCs w:val="16"/>
              </w:rPr>
              <w:t>Khallad</w:t>
            </w:r>
            <w:proofErr w:type="spellEnd"/>
            <w:r w:rsidRPr="00CA404D">
              <w:rPr>
                <w:rFonts w:ascii="Arial"/>
                <w:b/>
                <w:bCs/>
                <w:sz w:val="16"/>
                <w:szCs w:val="16"/>
              </w:rPr>
              <w:t xml:space="preserve"> Mubarak Ahmed </w:t>
            </w:r>
            <w:proofErr w:type="spellStart"/>
            <w:r w:rsidRPr="00CA404D">
              <w:rPr>
                <w:rFonts w:ascii="Arial"/>
                <w:b/>
                <w:bCs/>
                <w:sz w:val="16"/>
                <w:szCs w:val="16"/>
              </w:rPr>
              <w:t>Elbashir</w:t>
            </w:r>
            <w:proofErr w:type="spellEnd"/>
            <w:r w:rsidRPr="00CA404D">
              <w:rPr>
                <w:rFonts w:ascii="Arial"/>
                <w:sz w:val="16"/>
                <w:szCs w:val="16"/>
              </w:rPr>
              <w:t xml:space="preserve"> is currently a Master Degree researcher at the Department of Pharmacology and Toxicology, Faculty of Pharmacy, Omdurman Islamic University, Khartoum, Sudan. He has great interests for the </w:t>
            </w:r>
            <w:bookmarkStart w:id="0" w:name="_GoBack"/>
            <w:bookmarkEnd w:id="0"/>
            <w:r w:rsidRPr="00CA404D">
              <w:rPr>
                <w:rFonts w:ascii="Arial"/>
                <w:sz w:val="16"/>
                <w:szCs w:val="16"/>
              </w:rPr>
              <w:t xml:space="preserve">researches in the field of Pharmacology and Toxicology. </w:t>
            </w:r>
          </w:p>
          <w:p w:rsidR="00CA404D" w:rsidRDefault="00CA404D" w:rsidP="00865E1C"/>
        </w:tc>
      </w:tr>
    </w:tbl>
    <w:p w:rsidR="00CA404D" w:rsidRPr="00CA404D" w:rsidRDefault="00CA404D" w:rsidP="00A13418">
      <w:pPr>
        <w:rPr>
          <w:b/>
          <w:u w:val="single"/>
        </w:rPr>
      </w:pPr>
    </w:p>
    <w:p w:rsidR="00785BC3" w:rsidRPr="00662445" w:rsidRDefault="00785BC3" w:rsidP="00CA404D">
      <w:pPr>
        <w:rPr>
          <w:b/>
          <w:color w:val="FF0000"/>
          <w:sz w:val="20"/>
          <w:szCs w:val="20"/>
        </w:rPr>
      </w:pPr>
      <w:r w:rsidRPr="009A3855">
        <w:rPr>
          <w:b/>
          <w:u w:val="single"/>
          <w:lang w:val="en-NZ"/>
        </w:rPr>
        <w:t>Presenting author details</w:t>
      </w:r>
      <w:r w:rsidRPr="009A3855">
        <w:rPr>
          <w:b/>
          <w:u w:val="single"/>
          <w:lang w:val="en-NZ"/>
        </w:rPr>
        <w:br/>
      </w:r>
      <w:r w:rsidRPr="00662445">
        <w:rPr>
          <w:b/>
          <w:color w:val="FF0000"/>
          <w:sz w:val="20"/>
          <w:szCs w:val="20"/>
        </w:rPr>
        <w:t>Full name (As per the passport):</w:t>
      </w:r>
      <w:r w:rsidR="00572968" w:rsidRPr="00662445">
        <w:rPr>
          <w:b/>
          <w:color w:val="FF0000"/>
          <w:sz w:val="20"/>
          <w:szCs w:val="20"/>
        </w:rPr>
        <w:t xml:space="preserve"> </w:t>
      </w:r>
      <w:r w:rsidR="00A13418" w:rsidRPr="00662445">
        <w:rPr>
          <w:rFonts w:ascii="Arial"/>
          <w:b/>
          <w:bCs/>
          <w:sz w:val="20"/>
          <w:szCs w:val="20"/>
        </w:rPr>
        <w:t>Ashraf Osman Abdellatif Mohamed</w:t>
      </w:r>
    </w:p>
    <w:p w:rsidR="00785BC3" w:rsidRPr="00662445" w:rsidRDefault="00785BC3" w:rsidP="00A13418">
      <w:pPr>
        <w:rPr>
          <w:b/>
          <w:color w:val="FF0000"/>
          <w:sz w:val="20"/>
          <w:szCs w:val="20"/>
        </w:rPr>
      </w:pPr>
      <w:r w:rsidRPr="00662445">
        <w:rPr>
          <w:b/>
          <w:color w:val="FF0000"/>
          <w:sz w:val="20"/>
          <w:szCs w:val="20"/>
        </w:rPr>
        <w:t>University/Industry/Organization name:</w:t>
      </w:r>
      <w:r w:rsidR="00572968" w:rsidRPr="00662445">
        <w:rPr>
          <w:b/>
          <w:color w:val="FF0000"/>
          <w:sz w:val="20"/>
          <w:szCs w:val="20"/>
        </w:rPr>
        <w:t xml:space="preserve"> </w:t>
      </w:r>
      <w:r w:rsidR="00572968" w:rsidRPr="00662445">
        <w:rPr>
          <w:b/>
          <w:color w:val="000000" w:themeColor="text1"/>
          <w:sz w:val="20"/>
          <w:szCs w:val="20"/>
        </w:rPr>
        <w:t xml:space="preserve">Faculty of Pharmacy, </w:t>
      </w:r>
      <w:proofErr w:type="spellStart"/>
      <w:r w:rsidR="00A13418" w:rsidRPr="00662445">
        <w:rPr>
          <w:b/>
          <w:color w:val="000000" w:themeColor="text1"/>
          <w:sz w:val="20"/>
          <w:szCs w:val="20"/>
        </w:rPr>
        <w:t>Karary</w:t>
      </w:r>
      <w:proofErr w:type="spellEnd"/>
      <w:r w:rsidR="00572968" w:rsidRPr="00662445">
        <w:rPr>
          <w:b/>
          <w:color w:val="000000" w:themeColor="text1"/>
          <w:sz w:val="20"/>
          <w:szCs w:val="20"/>
        </w:rPr>
        <w:t xml:space="preserve"> University.</w:t>
      </w:r>
    </w:p>
    <w:p w:rsidR="00785BC3" w:rsidRPr="00662445" w:rsidRDefault="00785BC3" w:rsidP="00A13418">
      <w:pPr>
        <w:rPr>
          <w:b/>
          <w:color w:val="FF0000"/>
          <w:sz w:val="20"/>
          <w:szCs w:val="20"/>
        </w:rPr>
      </w:pPr>
      <w:r w:rsidRPr="00662445">
        <w:rPr>
          <w:b/>
          <w:color w:val="FF0000"/>
          <w:sz w:val="20"/>
          <w:szCs w:val="20"/>
        </w:rPr>
        <w:t>Designation</w:t>
      </w:r>
      <w:r w:rsidR="00290EDB" w:rsidRPr="00662445">
        <w:rPr>
          <w:b/>
          <w:color w:val="FF0000"/>
          <w:sz w:val="20"/>
          <w:szCs w:val="20"/>
        </w:rPr>
        <w:t xml:space="preserve"> </w:t>
      </w:r>
      <w:r w:rsidRPr="00662445">
        <w:rPr>
          <w:b/>
          <w:color w:val="FF0000"/>
          <w:sz w:val="20"/>
          <w:szCs w:val="20"/>
        </w:rPr>
        <w:t>(Director/Prof/Assistant or Associate prof/Researcher/Student):</w:t>
      </w:r>
      <w:r w:rsidR="00572968" w:rsidRPr="00662445">
        <w:rPr>
          <w:b/>
          <w:color w:val="FF0000"/>
          <w:sz w:val="20"/>
          <w:szCs w:val="20"/>
        </w:rPr>
        <w:t xml:space="preserve"> </w:t>
      </w:r>
      <w:r w:rsidR="00A13418" w:rsidRPr="00662445">
        <w:rPr>
          <w:b/>
          <w:color w:val="000000" w:themeColor="text1"/>
          <w:sz w:val="20"/>
          <w:szCs w:val="20"/>
        </w:rPr>
        <w:t>Assistant Professor</w:t>
      </w:r>
    </w:p>
    <w:p w:rsidR="00785BC3" w:rsidRPr="00662445" w:rsidRDefault="00785BC3" w:rsidP="00A13418">
      <w:pPr>
        <w:rPr>
          <w:b/>
          <w:color w:val="FF0000"/>
          <w:sz w:val="20"/>
          <w:szCs w:val="20"/>
        </w:rPr>
      </w:pPr>
      <w:r w:rsidRPr="00662445">
        <w:rPr>
          <w:b/>
          <w:color w:val="FF0000"/>
          <w:sz w:val="20"/>
          <w:szCs w:val="20"/>
        </w:rPr>
        <w:t>Country:</w:t>
      </w:r>
      <w:r w:rsidR="00572968" w:rsidRPr="00662445">
        <w:rPr>
          <w:b/>
          <w:color w:val="FF0000"/>
          <w:sz w:val="20"/>
          <w:szCs w:val="20"/>
        </w:rPr>
        <w:t xml:space="preserve"> </w:t>
      </w:r>
      <w:r w:rsidR="00B53864" w:rsidRPr="00662445">
        <w:rPr>
          <w:b/>
          <w:color w:val="000000" w:themeColor="text1"/>
          <w:sz w:val="20"/>
          <w:szCs w:val="20"/>
        </w:rPr>
        <w:t>Sudan.</w:t>
      </w:r>
    </w:p>
    <w:p w:rsidR="00785BC3" w:rsidRPr="00662445" w:rsidRDefault="0088268B" w:rsidP="00A13418">
      <w:pPr>
        <w:rPr>
          <w:b/>
          <w:color w:val="FF0000"/>
          <w:sz w:val="20"/>
          <w:szCs w:val="20"/>
        </w:rPr>
      </w:pPr>
      <w:r w:rsidRPr="00662445">
        <w:rPr>
          <w:b/>
          <w:color w:val="FF0000"/>
          <w:sz w:val="20"/>
          <w:szCs w:val="20"/>
        </w:rPr>
        <w:t>Mobile number:</w:t>
      </w:r>
      <w:r w:rsidR="00572968" w:rsidRPr="00662445">
        <w:rPr>
          <w:b/>
          <w:color w:val="FF0000"/>
          <w:sz w:val="20"/>
          <w:szCs w:val="20"/>
        </w:rPr>
        <w:t xml:space="preserve"> </w:t>
      </w:r>
      <w:r w:rsidR="00572968" w:rsidRPr="00662445">
        <w:rPr>
          <w:b/>
          <w:color w:val="000000" w:themeColor="text1"/>
          <w:sz w:val="20"/>
          <w:szCs w:val="20"/>
        </w:rPr>
        <w:t>00249</w:t>
      </w:r>
      <w:r w:rsidR="00A13418" w:rsidRPr="00662445">
        <w:rPr>
          <w:b/>
          <w:color w:val="000000" w:themeColor="text1"/>
          <w:sz w:val="20"/>
          <w:szCs w:val="20"/>
        </w:rPr>
        <w:t>123981100</w:t>
      </w:r>
    </w:p>
    <w:p w:rsidR="00785BC3" w:rsidRPr="00662445" w:rsidRDefault="00785BC3" w:rsidP="00A13418">
      <w:pPr>
        <w:rPr>
          <w:b/>
          <w:color w:val="FF0000"/>
          <w:sz w:val="20"/>
          <w:szCs w:val="20"/>
        </w:rPr>
      </w:pPr>
      <w:r w:rsidRPr="00662445">
        <w:rPr>
          <w:b/>
          <w:color w:val="FF0000"/>
          <w:sz w:val="20"/>
          <w:szCs w:val="20"/>
        </w:rPr>
        <w:t>Email:</w:t>
      </w:r>
      <w:r w:rsidR="004A6262" w:rsidRPr="00662445">
        <w:rPr>
          <w:b/>
          <w:color w:val="FF0000"/>
          <w:sz w:val="20"/>
          <w:szCs w:val="20"/>
        </w:rPr>
        <w:t xml:space="preserve"> </w:t>
      </w:r>
      <w:r w:rsidR="00A13418" w:rsidRPr="00662445">
        <w:rPr>
          <w:b/>
          <w:color w:val="000000" w:themeColor="text1"/>
          <w:sz w:val="20"/>
          <w:szCs w:val="20"/>
        </w:rPr>
        <w:t>ashrafpharm11</w:t>
      </w:r>
      <w:r w:rsidR="004A6262" w:rsidRPr="00662445">
        <w:rPr>
          <w:b/>
          <w:color w:val="000000" w:themeColor="text1"/>
          <w:sz w:val="20"/>
          <w:szCs w:val="20"/>
        </w:rPr>
        <w:t>@gmail.com</w:t>
      </w:r>
    </w:p>
    <w:p w:rsidR="00785BC3" w:rsidRPr="00662445" w:rsidRDefault="00785BC3" w:rsidP="00A13418">
      <w:pPr>
        <w:rPr>
          <w:b/>
          <w:color w:val="FF0000"/>
          <w:sz w:val="20"/>
          <w:szCs w:val="20"/>
          <w:lang w:val="en-NZ"/>
        </w:rPr>
      </w:pPr>
      <w:r w:rsidRPr="00662445">
        <w:rPr>
          <w:b/>
          <w:color w:val="FF0000"/>
          <w:sz w:val="20"/>
          <w:szCs w:val="20"/>
          <w:lang w:val="en-NZ"/>
        </w:rPr>
        <w:t>Category (Oral presentation/ Poster presentation/Young researcher forum/E-poster):</w:t>
      </w:r>
      <w:r w:rsidR="00572968" w:rsidRPr="00662445">
        <w:rPr>
          <w:b/>
          <w:color w:val="FF0000"/>
          <w:sz w:val="20"/>
          <w:szCs w:val="20"/>
          <w:lang w:val="en-NZ"/>
        </w:rPr>
        <w:t xml:space="preserve"> </w:t>
      </w:r>
      <w:r w:rsidR="00572968" w:rsidRPr="00662445">
        <w:rPr>
          <w:b/>
          <w:color w:val="000000" w:themeColor="text1"/>
          <w:sz w:val="20"/>
          <w:szCs w:val="20"/>
          <w:lang w:val="en-NZ"/>
        </w:rPr>
        <w:t>Oral presentation</w:t>
      </w:r>
      <w:r w:rsidR="0088268B" w:rsidRPr="00662445">
        <w:rPr>
          <w:b/>
          <w:color w:val="FF0000"/>
          <w:sz w:val="20"/>
          <w:szCs w:val="20"/>
          <w:lang w:val="en-NZ"/>
        </w:rPr>
        <w:t>.</w:t>
      </w:r>
    </w:p>
    <w:p w:rsidR="00785BC3" w:rsidRPr="00662445" w:rsidRDefault="00785BC3" w:rsidP="00A13418">
      <w:pPr>
        <w:rPr>
          <w:b/>
          <w:color w:val="FF0000"/>
          <w:sz w:val="20"/>
          <w:szCs w:val="20"/>
        </w:rPr>
      </w:pPr>
      <w:r w:rsidRPr="00662445">
        <w:rPr>
          <w:b/>
          <w:color w:val="FF0000"/>
          <w:sz w:val="20"/>
          <w:szCs w:val="20"/>
        </w:rPr>
        <w:t>Research interest:</w:t>
      </w:r>
      <w:r w:rsidR="00572968" w:rsidRPr="00662445">
        <w:rPr>
          <w:b/>
          <w:color w:val="FF0000"/>
          <w:sz w:val="20"/>
          <w:szCs w:val="20"/>
        </w:rPr>
        <w:t xml:space="preserve"> </w:t>
      </w:r>
      <w:r w:rsidR="00A13418" w:rsidRPr="00662445">
        <w:rPr>
          <w:b/>
          <w:color w:val="000000" w:themeColor="text1"/>
          <w:sz w:val="20"/>
          <w:szCs w:val="20"/>
        </w:rPr>
        <w:t>Nanotechnology toxicity</w:t>
      </w:r>
    </w:p>
    <w:sectPr w:rsidR="00785BC3" w:rsidRPr="00662445"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E80" w:rsidRDefault="00144E80">
      <w:r>
        <w:separator/>
      </w:r>
    </w:p>
  </w:endnote>
  <w:endnote w:type="continuationSeparator" w:id="0">
    <w:p w:rsidR="00144E80" w:rsidRDefault="00144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56192" behindDoc="1" locked="0" layoutInCell="1" allowOverlap="1" wp14:anchorId="29E87AA3" wp14:editId="56B5934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E87AA3" id="_x0000_t202" coordsize="21600,21600" o:spt="202" path="m,l,21600r21600,l21600,xe">
              <v:stroke joinstyle="miter"/>
              <v:path gradientshapeok="t" o:connecttype="rect"/>
            </v:shapetype>
            <v:shape id="Text Box 3" o:spid="_x0000_s1026"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1" allowOverlap="1" wp14:anchorId="0EE029B8" wp14:editId="48AD354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E029B8" id="Text Box 2" o:spid="_x0000_s1027"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37E20943" wp14:editId="758A1DB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E20943" id="Text Box 1" o:spid="_x0000_s1028"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E80" w:rsidRDefault="00144E80">
      <w:r>
        <w:separator/>
      </w:r>
    </w:p>
  </w:footnote>
  <w:footnote w:type="continuationSeparator" w:id="0">
    <w:p w:rsidR="00144E80" w:rsidRDefault="00144E8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3516ABF"/>
    <w:multiLevelType w:val="hybridMultilevel"/>
    <w:tmpl w:val="29480B46"/>
    <w:lvl w:ilvl="0" w:tplc="56D0030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014A"/>
    <w:rsid w:val="000E2911"/>
    <w:rsid w:val="000E4D6B"/>
    <w:rsid w:val="001263DF"/>
    <w:rsid w:val="001338EA"/>
    <w:rsid w:val="00144E80"/>
    <w:rsid w:val="00153EEF"/>
    <w:rsid w:val="00194CF9"/>
    <w:rsid w:val="00200B65"/>
    <w:rsid w:val="00267B7E"/>
    <w:rsid w:val="00290EDB"/>
    <w:rsid w:val="00292ED9"/>
    <w:rsid w:val="00375C34"/>
    <w:rsid w:val="003B051E"/>
    <w:rsid w:val="003B13B1"/>
    <w:rsid w:val="00400C03"/>
    <w:rsid w:val="00404E5B"/>
    <w:rsid w:val="00414F7B"/>
    <w:rsid w:val="004355DC"/>
    <w:rsid w:val="00473086"/>
    <w:rsid w:val="004749B4"/>
    <w:rsid w:val="00494130"/>
    <w:rsid w:val="004A6262"/>
    <w:rsid w:val="004C473A"/>
    <w:rsid w:val="004F3523"/>
    <w:rsid w:val="00517B9F"/>
    <w:rsid w:val="0055478C"/>
    <w:rsid w:val="00565A99"/>
    <w:rsid w:val="00572968"/>
    <w:rsid w:val="00576B33"/>
    <w:rsid w:val="005973B9"/>
    <w:rsid w:val="005B3A56"/>
    <w:rsid w:val="006060CE"/>
    <w:rsid w:val="0063497F"/>
    <w:rsid w:val="00662445"/>
    <w:rsid w:val="007731CB"/>
    <w:rsid w:val="00785BC3"/>
    <w:rsid w:val="0081696A"/>
    <w:rsid w:val="00873DF0"/>
    <w:rsid w:val="008756E6"/>
    <w:rsid w:val="0088268B"/>
    <w:rsid w:val="00887AAB"/>
    <w:rsid w:val="008C3143"/>
    <w:rsid w:val="00973D6A"/>
    <w:rsid w:val="009865B0"/>
    <w:rsid w:val="009A3855"/>
    <w:rsid w:val="009B2D44"/>
    <w:rsid w:val="009D6C7C"/>
    <w:rsid w:val="009E0D6C"/>
    <w:rsid w:val="00A07E82"/>
    <w:rsid w:val="00A13418"/>
    <w:rsid w:val="00A9710C"/>
    <w:rsid w:val="00AE3E37"/>
    <w:rsid w:val="00B21A57"/>
    <w:rsid w:val="00B53864"/>
    <w:rsid w:val="00BD40D4"/>
    <w:rsid w:val="00BF1D4E"/>
    <w:rsid w:val="00C33602"/>
    <w:rsid w:val="00C52133"/>
    <w:rsid w:val="00C72BAC"/>
    <w:rsid w:val="00CA404D"/>
    <w:rsid w:val="00CD6F55"/>
    <w:rsid w:val="00D30E41"/>
    <w:rsid w:val="00D50522"/>
    <w:rsid w:val="00DA5872"/>
    <w:rsid w:val="00DE12F6"/>
    <w:rsid w:val="00DE3104"/>
    <w:rsid w:val="00DF76E0"/>
    <w:rsid w:val="00E434E9"/>
    <w:rsid w:val="00EB3372"/>
    <w:rsid w:val="00EB6521"/>
    <w:rsid w:val="00ED3C3B"/>
    <w:rsid w:val="00F52C13"/>
    <w:rsid w:val="00F72EEA"/>
    <w:rsid w:val="00F746F1"/>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9622A6"/>
  <w15:docId w15:val="{19AB70E8-EA82-4CE6-A987-DE3F161D7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572968"/>
    <w:rPr>
      <w:color w:val="800080" w:themeColor="followedHyperlink"/>
      <w:u w:val="single"/>
    </w:rPr>
  </w:style>
  <w:style w:type="character" w:customStyle="1" w:styleId="st">
    <w:name w:val="st"/>
    <w:basedOn w:val="DefaultParagraphFont"/>
    <w:rsid w:val="009D6C7C"/>
  </w:style>
  <w:style w:type="character" w:customStyle="1" w:styleId="EndNoteBibliographyChar">
    <w:name w:val="EndNote Bibliography Char"/>
    <w:basedOn w:val="DefaultParagraphFont"/>
    <w:link w:val="EndNoteBibliography"/>
    <w:locked/>
    <w:rsid w:val="0088268B"/>
    <w:rPr>
      <w:rFonts w:ascii="Calibri" w:eastAsiaTheme="minorEastAsia" w:hAnsi="Calibri" w:cs="Calibri"/>
      <w:noProof/>
    </w:rPr>
  </w:style>
  <w:style w:type="paragraph" w:customStyle="1" w:styleId="EndNoteBibliography">
    <w:name w:val="EndNote Bibliography"/>
    <w:basedOn w:val="Normal"/>
    <w:link w:val="EndNoteBibliographyChar"/>
    <w:rsid w:val="0088268B"/>
    <w:pPr>
      <w:widowControl/>
      <w:bidi/>
      <w:spacing w:after="200"/>
      <w:jc w:val="lowKashida"/>
    </w:pPr>
    <w:rPr>
      <w:rFonts w:ascii="Calibri" w:eastAsiaTheme="minorEastAsia" w:hAnsi="Calibri" w:cs="Calibri"/>
      <w:noProof/>
    </w:rPr>
  </w:style>
  <w:style w:type="table" w:styleId="TableGrid">
    <w:name w:val="Table Grid"/>
    <w:basedOn w:val="TableNormal"/>
    <w:uiPriority w:val="59"/>
    <w:rsid w:val="00CA4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733</Words>
  <Characters>4182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منه الله اشرف</cp:lastModifiedBy>
  <cp:revision>9</cp:revision>
  <cp:lastPrinted>2019-05-04T18:54:00Z</cp:lastPrinted>
  <dcterms:created xsi:type="dcterms:W3CDTF">2019-05-04T14:55:00Z</dcterms:created>
  <dcterms:modified xsi:type="dcterms:W3CDTF">2020-02-29T11:22:00Z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