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676EAC" w:rsidP="00494130">
      <w:pPr>
        <w:pStyle w:val="Heading1"/>
        <w:spacing w:before="170"/>
        <w:ind w:left="0"/>
      </w:pPr>
      <w:r>
        <w:rPr>
          <w:color w:val="337AB7"/>
        </w:rPr>
        <w:t xml:space="preserve">Electrochemical Immunosensor based on graphene quantum </w:t>
      </w:r>
      <w:proofErr w:type="spellStart"/>
      <w:r>
        <w:rPr>
          <w:color w:val="337AB7"/>
        </w:rPr>
        <w:t>dots@Carbon</w:t>
      </w:r>
      <w:proofErr w:type="spellEnd"/>
      <w:r>
        <w:rPr>
          <w:color w:val="337AB7"/>
        </w:rPr>
        <w:t xml:space="preserve"> nanotubes composite for foodborne </w:t>
      </w:r>
      <w:r w:rsidR="00CA2F69">
        <w:rPr>
          <w:color w:val="337AB7"/>
        </w:rPr>
        <w:t>myco</w:t>
      </w:r>
      <w:r>
        <w:rPr>
          <w:color w:val="337AB7"/>
        </w:rPr>
        <w:t>toxin detection</w:t>
      </w:r>
    </w:p>
    <w:p w:rsidR="00676EAC" w:rsidRDefault="00676EAC" w:rsidP="005973B9">
      <w:pPr>
        <w:pStyle w:val="BodyText"/>
        <w:spacing w:before="73" w:line="198" w:lineRule="exact"/>
        <w:ind w:left="100" w:right="5987"/>
        <w:rPr>
          <w:rFonts w:ascii="Arial"/>
          <w:u w:val="single"/>
        </w:rPr>
      </w:pPr>
    </w:p>
    <w:p w:rsidR="00676EAC" w:rsidRDefault="00676EAC" w:rsidP="0035207D">
      <w:pPr>
        <w:pStyle w:val="BodyText"/>
        <w:spacing w:before="73" w:line="198" w:lineRule="exact"/>
        <w:ind w:left="100" w:right="5987"/>
        <w:rPr>
          <w:rFonts w:ascii="Arial"/>
        </w:rPr>
      </w:pPr>
      <w:r w:rsidRPr="00676EAC">
        <w:rPr>
          <w:rFonts w:ascii="Arial"/>
          <w:u w:val="single"/>
        </w:rPr>
        <w:t>Hema Bhardwaj</w:t>
      </w:r>
      <w:r>
        <w:rPr>
          <w:rFonts w:ascii="Arial"/>
          <w:u w:val="single"/>
          <w:vertAlign w:val="superscript"/>
        </w:rPr>
        <w:t>1,2</w:t>
      </w:r>
      <w:r>
        <w:rPr>
          <w:rFonts w:ascii="Arial"/>
        </w:rPr>
        <w:t>, G. Sumana</w:t>
      </w:r>
      <w:r>
        <w:rPr>
          <w:rFonts w:ascii="Arial"/>
          <w:vertAlign w:val="superscript"/>
        </w:rPr>
        <w:t>2</w:t>
      </w:r>
      <w:r>
        <w:rPr>
          <w:rFonts w:ascii="Arial"/>
        </w:rPr>
        <w:t xml:space="preserve">, </w:t>
      </w:r>
      <w:r w:rsidR="0035207D">
        <w:rPr>
          <w:rFonts w:ascii="Arial"/>
        </w:rPr>
        <w:t>R.</w:t>
      </w:r>
      <w:proofErr w:type="gramStart"/>
      <w:r w:rsidR="0035207D">
        <w:rPr>
          <w:rFonts w:ascii="Arial"/>
        </w:rPr>
        <w:t>K.Kotnala</w:t>
      </w:r>
      <w:proofErr w:type="gramEnd"/>
      <w:r w:rsidR="0035207D">
        <w:rPr>
          <w:rFonts w:ascii="Arial"/>
          <w:vertAlign w:val="superscript"/>
        </w:rPr>
        <w:t>2</w:t>
      </w:r>
      <w:r w:rsidR="0035207D">
        <w:rPr>
          <w:rFonts w:ascii="Arial"/>
        </w:rPr>
        <w:t xml:space="preserve">, </w:t>
      </w:r>
      <w:r>
        <w:rPr>
          <w:rFonts w:ascii="Arial"/>
        </w:rPr>
        <w:t>Christophe Marquette</w:t>
      </w:r>
      <w:r>
        <w:rPr>
          <w:rFonts w:ascii="Arial"/>
          <w:vertAlign w:val="superscript"/>
        </w:rPr>
        <w:t>3</w:t>
      </w:r>
      <w:r>
        <w:rPr>
          <w:rFonts w:ascii="Arial"/>
        </w:rPr>
        <w:t>,</w:t>
      </w:r>
    </w:p>
    <w:p w:rsidR="00C84483" w:rsidRDefault="00676EAC" w:rsidP="0035207D">
      <w:pPr>
        <w:pStyle w:val="BodyText"/>
        <w:spacing w:before="73" w:line="198" w:lineRule="exact"/>
        <w:ind w:left="100" w:right="5987"/>
        <w:rPr>
          <w:rFonts w:ascii="Arial" w:hAnsi="Arial" w:cs="Arial"/>
          <w:noProof/>
        </w:rPr>
      </w:pPr>
      <w:r w:rsidRPr="00C84483">
        <w:rPr>
          <w:rFonts w:ascii="Arial" w:hAnsi="Arial" w:cs="Arial"/>
          <w:vertAlign w:val="superscript"/>
        </w:rPr>
        <w:t>1</w:t>
      </w:r>
      <w:r w:rsidRPr="00C84483">
        <w:rPr>
          <w:rFonts w:ascii="Arial" w:hAnsi="Arial" w:cs="Arial"/>
        </w:rPr>
        <w:t xml:space="preserve">AcSIR, </w:t>
      </w:r>
      <w:r w:rsidR="00C84483" w:rsidRPr="00C84483">
        <w:rPr>
          <w:rFonts w:ascii="Arial" w:hAnsi="Arial" w:cs="Arial"/>
          <w:noProof/>
        </w:rPr>
        <w:t xml:space="preserve">CSIR-National Physical Laboratory, Dr. K.S. </w:t>
      </w:r>
    </w:p>
    <w:p w:rsidR="00C84483" w:rsidRPr="00C84483" w:rsidRDefault="00C84483" w:rsidP="0035207D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>
        <w:rPr>
          <w:rFonts w:ascii="Arial" w:hAnsi="Arial" w:cs="Arial"/>
          <w:noProof/>
        </w:rPr>
        <w:t xml:space="preserve"> </w:t>
      </w:r>
      <w:r w:rsidRPr="00C84483">
        <w:rPr>
          <w:rFonts w:ascii="Arial" w:hAnsi="Arial" w:cs="Arial"/>
          <w:noProof/>
        </w:rPr>
        <w:t>Krishnan</w:t>
      </w:r>
      <w:r w:rsidRPr="00C84483">
        <w:rPr>
          <w:rFonts w:ascii="Arial" w:hAnsi="Arial" w:cs="Arial"/>
        </w:rPr>
        <w:t xml:space="preserve"> Marg, New Delhi-110012</w:t>
      </w:r>
    </w:p>
    <w:p w:rsidR="00C84483" w:rsidRDefault="00676EAC" w:rsidP="0035207D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 w:rsidRPr="00C84483">
        <w:rPr>
          <w:rFonts w:ascii="Arial" w:hAnsi="Arial" w:cs="Arial"/>
          <w:vertAlign w:val="superscript"/>
        </w:rPr>
        <w:t>2</w:t>
      </w:r>
      <w:r w:rsidRPr="00C84483">
        <w:rPr>
          <w:rFonts w:ascii="Arial" w:hAnsi="Arial" w:cs="Arial"/>
          <w:noProof/>
        </w:rPr>
        <w:t xml:space="preserve"> CSIR-National Physical Laboratory, Dr. K.S. Krishnan</w:t>
      </w:r>
      <w:r w:rsidRPr="00C84483">
        <w:rPr>
          <w:rFonts w:ascii="Arial" w:hAnsi="Arial" w:cs="Arial"/>
        </w:rPr>
        <w:t xml:space="preserve"> </w:t>
      </w:r>
      <w:r w:rsidR="00C84483">
        <w:rPr>
          <w:rFonts w:ascii="Arial" w:hAnsi="Arial" w:cs="Arial"/>
        </w:rPr>
        <w:t xml:space="preserve">    </w:t>
      </w:r>
    </w:p>
    <w:p w:rsidR="00C84483" w:rsidRPr="00C84483" w:rsidRDefault="00C84483" w:rsidP="0035207D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676EAC" w:rsidRPr="00C84483">
        <w:rPr>
          <w:rFonts w:ascii="Arial" w:hAnsi="Arial" w:cs="Arial"/>
        </w:rPr>
        <w:t>Marg, New Delhi-110012</w:t>
      </w:r>
    </w:p>
    <w:p w:rsidR="00C84483" w:rsidRDefault="00676EAC" w:rsidP="0035207D">
      <w:pPr>
        <w:pStyle w:val="BodyText"/>
        <w:spacing w:before="73" w:line="198" w:lineRule="exact"/>
        <w:ind w:left="100" w:right="5987"/>
        <w:rPr>
          <w:rFonts w:ascii="Arial" w:hAnsi="Arial" w:cs="Arial"/>
          <w:color w:val="000000" w:themeColor="text1"/>
        </w:rPr>
      </w:pPr>
      <w:r w:rsidRPr="00C84483">
        <w:rPr>
          <w:rFonts w:ascii="Arial" w:hAnsi="Arial" w:cs="Arial"/>
          <w:color w:val="000000" w:themeColor="text1"/>
          <w:vertAlign w:val="superscript"/>
        </w:rPr>
        <w:t>3</w:t>
      </w:r>
      <w:r w:rsidRPr="00C84483">
        <w:rPr>
          <w:rFonts w:ascii="Arial" w:hAnsi="Arial" w:cs="Arial"/>
          <w:color w:val="000000" w:themeColor="text1"/>
        </w:rPr>
        <w:t xml:space="preserve">Supramoléculaires </w:t>
      </w:r>
      <w:proofErr w:type="spellStart"/>
      <w:r w:rsidRPr="00C84483">
        <w:rPr>
          <w:rFonts w:ascii="Arial" w:hAnsi="Arial" w:cs="Arial"/>
          <w:color w:val="000000" w:themeColor="text1"/>
        </w:rPr>
        <w:t>Université</w:t>
      </w:r>
      <w:proofErr w:type="spellEnd"/>
      <w:r w:rsidRPr="00C84483">
        <w:rPr>
          <w:rFonts w:ascii="Arial" w:hAnsi="Arial" w:cs="Arial"/>
          <w:color w:val="000000" w:themeColor="text1"/>
        </w:rPr>
        <w:t xml:space="preserve"> Lyon 1-CNRS 5246 </w:t>
      </w:r>
    </w:p>
    <w:p w:rsidR="00C84483" w:rsidRDefault="00C84483" w:rsidP="0035207D">
      <w:pPr>
        <w:pStyle w:val="BodyText"/>
        <w:spacing w:before="73" w:line="198" w:lineRule="exact"/>
        <w:ind w:left="100" w:right="5987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</w:t>
      </w:r>
      <w:r w:rsidR="00676EAC" w:rsidRPr="00C84483">
        <w:rPr>
          <w:rFonts w:ascii="Arial" w:hAnsi="Arial" w:cs="Arial"/>
          <w:color w:val="000000" w:themeColor="text1"/>
        </w:rPr>
        <w:t xml:space="preserve">ICBMS </w:t>
      </w:r>
      <w:proofErr w:type="spellStart"/>
      <w:r w:rsidR="00676EAC" w:rsidRPr="00C84483">
        <w:rPr>
          <w:rFonts w:ascii="Arial" w:hAnsi="Arial" w:cs="Arial"/>
          <w:color w:val="000000" w:themeColor="text1"/>
        </w:rPr>
        <w:t>Bâtiment</w:t>
      </w:r>
      <w:proofErr w:type="spellEnd"/>
      <w:r w:rsidR="00676EAC" w:rsidRPr="00C84483">
        <w:rPr>
          <w:rFonts w:ascii="Arial" w:hAnsi="Arial" w:cs="Arial"/>
          <w:color w:val="000000" w:themeColor="text1"/>
        </w:rPr>
        <w:t xml:space="preserve"> CPE 43, </w:t>
      </w:r>
      <w:proofErr w:type="spellStart"/>
      <w:r w:rsidR="00676EAC" w:rsidRPr="00C84483">
        <w:rPr>
          <w:rFonts w:ascii="Arial" w:hAnsi="Arial" w:cs="Arial"/>
          <w:color w:val="000000" w:themeColor="text1"/>
        </w:rPr>
        <w:t>bd</w:t>
      </w:r>
      <w:proofErr w:type="spellEnd"/>
      <w:r w:rsidR="00676EAC" w:rsidRPr="00C84483">
        <w:rPr>
          <w:rFonts w:ascii="Arial" w:hAnsi="Arial" w:cs="Arial"/>
          <w:color w:val="000000" w:themeColor="text1"/>
        </w:rPr>
        <w:t xml:space="preserve"> du 11 </w:t>
      </w:r>
      <w:proofErr w:type="spellStart"/>
      <w:r w:rsidR="00676EAC" w:rsidRPr="00C84483">
        <w:rPr>
          <w:rFonts w:ascii="Arial" w:hAnsi="Arial" w:cs="Arial"/>
          <w:color w:val="000000" w:themeColor="text1"/>
        </w:rPr>
        <w:t>novembre</w:t>
      </w:r>
      <w:proofErr w:type="spellEnd"/>
      <w:r w:rsidR="00676EAC" w:rsidRPr="00C84483">
        <w:rPr>
          <w:rFonts w:ascii="Arial" w:hAnsi="Arial" w:cs="Arial"/>
          <w:color w:val="000000" w:themeColor="text1"/>
        </w:rPr>
        <w:t xml:space="preserve"> 1918, </w:t>
      </w:r>
    </w:p>
    <w:p w:rsidR="00676EAC" w:rsidRPr="00C84483" w:rsidRDefault="00C84483" w:rsidP="0035207D">
      <w:pPr>
        <w:pStyle w:val="BodyText"/>
        <w:spacing w:before="73" w:line="198" w:lineRule="exact"/>
        <w:ind w:left="100" w:right="5987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</w:t>
      </w:r>
      <w:r w:rsidR="00676EAC" w:rsidRPr="00C84483">
        <w:rPr>
          <w:rFonts w:ascii="Arial" w:hAnsi="Arial" w:cs="Arial"/>
          <w:color w:val="000000" w:themeColor="text1"/>
        </w:rPr>
        <w:t xml:space="preserve">69622 Villeurbanne, Cedex,    </w:t>
      </w:r>
    </w:p>
    <w:p w:rsidR="00AE3E37" w:rsidRPr="00C84483" w:rsidRDefault="00676EAC" w:rsidP="0035207D">
      <w:pPr>
        <w:pStyle w:val="BodyText"/>
        <w:spacing w:before="3"/>
        <w:rPr>
          <w:rFonts w:ascii="Arial" w:hAnsi="Arial" w:cs="Arial"/>
          <w:color w:val="000000" w:themeColor="text1"/>
        </w:rPr>
      </w:pPr>
      <w:r w:rsidRPr="00C84483">
        <w:rPr>
          <w:rFonts w:ascii="Arial" w:hAnsi="Arial" w:cs="Arial"/>
          <w:color w:val="000000" w:themeColor="text1"/>
        </w:rPr>
        <w:t xml:space="preserve"> </w:t>
      </w:r>
      <w:r w:rsidR="00C84483">
        <w:rPr>
          <w:rFonts w:ascii="Arial" w:hAnsi="Arial" w:cs="Arial"/>
          <w:color w:val="000000" w:themeColor="text1"/>
        </w:rPr>
        <w:t xml:space="preserve">    </w:t>
      </w:r>
      <w:r w:rsidRPr="00C84483">
        <w:rPr>
          <w:rFonts w:ascii="Arial" w:hAnsi="Arial" w:cs="Arial"/>
          <w:color w:val="000000" w:themeColor="text1"/>
        </w:rPr>
        <w:t>France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32CFA" w:rsidRPr="00F32CFA" w:rsidRDefault="00A9710C" w:rsidP="00F32CFA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C84483" w:rsidRPr="00F32CFA" w:rsidRDefault="00C84483" w:rsidP="00F32CFA">
      <w:pPr>
        <w:pStyle w:val="Default"/>
        <w:jc w:val="both"/>
        <w:rPr>
          <w:rFonts w:ascii="Tw Cen MT" w:hAnsi="Tw Cen MT"/>
          <w:sz w:val="18"/>
          <w:szCs w:val="18"/>
        </w:rPr>
      </w:pPr>
      <w:r w:rsidRPr="00C84483">
        <w:rPr>
          <w:rFonts w:ascii="Tw Cen MT" w:hAnsi="Tw Cen MT"/>
          <w:noProof/>
          <w:sz w:val="18"/>
          <w:szCs w:val="18"/>
        </w:rPr>
        <w:t>Since the last decades, food borne</w:t>
      </w:r>
      <w:r w:rsidRPr="00C84483">
        <w:rPr>
          <w:rFonts w:ascii="Tw Cen MT" w:hAnsi="Tw Cen MT"/>
          <w:sz w:val="18"/>
          <w:szCs w:val="18"/>
        </w:rPr>
        <w:t xml:space="preserve"> pathogen affect the humans and animal’s life gradually, where 40% of the approximately 50 million peoples died annually in worldwide</w:t>
      </w:r>
      <w:r w:rsidR="00E91085">
        <w:rPr>
          <w:rFonts w:ascii="Tw Cen MT" w:hAnsi="Tw Cen MT"/>
          <w:sz w:val="18"/>
          <w:szCs w:val="18"/>
          <w:vertAlign w:val="superscript"/>
        </w:rPr>
        <w:t>1</w:t>
      </w:r>
      <w:r w:rsidRPr="00C84483">
        <w:rPr>
          <w:rFonts w:ascii="Tw Cen MT" w:hAnsi="Tw Cen MT"/>
          <w:sz w:val="18"/>
          <w:szCs w:val="18"/>
        </w:rPr>
        <w:t xml:space="preserve">. Infectious disease naturally occurs in food and cannot be removed once get infected. Among the various </w:t>
      </w:r>
      <w:r w:rsidRPr="00C84483">
        <w:rPr>
          <w:rFonts w:ascii="Tw Cen MT" w:hAnsi="Tw Cen MT"/>
          <w:noProof/>
          <w:sz w:val="18"/>
          <w:szCs w:val="18"/>
        </w:rPr>
        <w:t>foodborn</w:t>
      </w:r>
      <w:r w:rsidRPr="00C84483">
        <w:rPr>
          <w:rFonts w:ascii="Tw Cen MT" w:hAnsi="Tw Cen MT"/>
          <w:sz w:val="18"/>
          <w:szCs w:val="18"/>
        </w:rPr>
        <w:t xml:space="preserve"> toxins, aflatoxin B1 is one of the most affected toxic chemical which mainly produced by secondary metabolite </w:t>
      </w:r>
      <w:r w:rsidRPr="00C84483">
        <w:rPr>
          <w:rFonts w:ascii="Tw Cen MT" w:hAnsi="Tw Cen MT"/>
          <w:noProof/>
          <w:sz w:val="18"/>
          <w:szCs w:val="18"/>
        </w:rPr>
        <w:t>mold</w:t>
      </w:r>
      <w:r w:rsidRPr="00C84483">
        <w:rPr>
          <w:rFonts w:ascii="Tw Cen MT" w:hAnsi="Tw Cen MT"/>
          <w:sz w:val="18"/>
          <w:szCs w:val="18"/>
        </w:rPr>
        <w:t xml:space="preserve"> such as </w:t>
      </w:r>
      <w:r w:rsidRPr="00C84483">
        <w:rPr>
          <w:rFonts w:ascii="Tw Cen MT" w:hAnsi="Tw Cen MT"/>
          <w:i/>
          <w:noProof/>
          <w:sz w:val="18"/>
          <w:szCs w:val="18"/>
        </w:rPr>
        <w:t>Aspergillus</w:t>
      </w:r>
      <w:r w:rsidRPr="00C84483">
        <w:rPr>
          <w:rFonts w:ascii="Tw Cen MT" w:hAnsi="Tw Cen MT"/>
          <w:i/>
          <w:sz w:val="18"/>
          <w:szCs w:val="18"/>
        </w:rPr>
        <w:t xml:space="preserve"> </w:t>
      </w:r>
      <w:r w:rsidRPr="00C84483">
        <w:rPr>
          <w:rFonts w:ascii="Tw Cen MT" w:hAnsi="Tw Cen MT"/>
          <w:i/>
          <w:noProof/>
          <w:sz w:val="18"/>
          <w:szCs w:val="18"/>
        </w:rPr>
        <w:t>parasiticus</w:t>
      </w:r>
      <w:r w:rsidRPr="00C84483">
        <w:rPr>
          <w:rFonts w:ascii="Tw Cen MT" w:hAnsi="Tw Cen MT"/>
          <w:sz w:val="18"/>
          <w:szCs w:val="18"/>
        </w:rPr>
        <w:t xml:space="preserve"> and </w:t>
      </w:r>
      <w:r w:rsidRPr="00C84483">
        <w:rPr>
          <w:rFonts w:ascii="Tw Cen MT" w:hAnsi="Tw Cen MT"/>
          <w:i/>
          <w:noProof/>
          <w:sz w:val="18"/>
          <w:szCs w:val="18"/>
        </w:rPr>
        <w:t>Aspergillus</w:t>
      </w:r>
      <w:r w:rsidRPr="00C84483">
        <w:rPr>
          <w:rFonts w:ascii="Tw Cen MT" w:hAnsi="Tw Cen MT"/>
          <w:i/>
          <w:sz w:val="18"/>
          <w:szCs w:val="18"/>
        </w:rPr>
        <w:t xml:space="preserve"> </w:t>
      </w:r>
      <w:r w:rsidRPr="00C84483">
        <w:rPr>
          <w:rFonts w:ascii="Tw Cen MT" w:hAnsi="Tw Cen MT"/>
          <w:i/>
          <w:noProof/>
          <w:sz w:val="18"/>
          <w:szCs w:val="18"/>
        </w:rPr>
        <w:t>flavus</w:t>
      </w:r>
      <w:r w:rsidR="00E91085">
        <w:rPr>
          <w:rFonts w:ascii="Tw Cen MT" w:hAnsi="Tw Cen MT"/>
          <w:noProof/>
          <w:sz w:val="18"/>
          <w:szCs w:val="18"/>
          <w:vertAlign w:val="superscript"/>
        </w:rPr>
        <w:t>2</w:t>
      </w:r>
      <w:r w:rsidRPr="00C84483">
        <w:rPr>
          <w:rFonts w:ascii="Tw Cen MT" w:hAnsi="Tw Cen MT"/>
          <w:sz w:val="18"/>
          <w:szCs w:val="18"/>
        </w:rPr>
        <w:t xml:space="preserve">. These fungi usually infect the crops such as wheat, cereals, pulses, walnut, almond, flour, etc. and lead to create serious complication for human’s health and animals such as teratogenicity, </w:t>
      </w:r>
      <w:proofErr w:type="spellStart"/>
      <w:r w:rsidRPr="00C84483">
        <w:rPr>
          <w:rFonts w:ascii="Tw Cen MT" w:hAnsi="Tw Cen MT"/>
          <w:sz w:val="18"/>
          <w:szCs w:val="18"/>
        </w:rPr>
        <w:t>immunotoxicity</w:t>
      </w:r>
      <w:proofErr w:type="spellEnd"/>
      <w:r w:rsidRPr="00C84483">
        <w:rPr>
          <w:rFonts w:ascii="Tw Cen MT" w:hAnsi="Tw Cen MT"/>
          <w:sz w:val="18"/>
          <w:szCs w:val="18"/>
        </w:rPr>
        <w:t xml:space="preserve">, </w:t>
      </w:r>
      <w:r w:rsidRPr="00C84483">
        <w:rPr>
          <w:rFonts w:ascii="Tw Cen MT" w:hAnsi="Tw Cen MT"/>
          <w:noProof/>
          <w:sz w:val="18"/>
          <w:szCs w:val="18"/>
        </w:rPr>
        <w:t>and</w:t>
      </w:r>
      <w:r w:rsidRPr="00C84483">
        <w:rPr>
          <w:rFonts w:ascii="Tw Cen MT" w:hAnsi="Tw Cen MT"/>
          <w:sz w:val="18"/>
          <w:szCs w:val="18"/>
        </w:rPr>
        <w:t xml:space="preserve"> hepatotoxicity. It has </w:t>
      </w:r>
      <w:r w:rsidRPr="00C84483">
        <w:rPr>
          <w:rFonts w:ascii="Tw Cen MT" w:hAnsi="Tw Cen MT"/>
          <w:noProof/>
          <w:sz w:val="18"/>
          <w:szCs w:val="18"/>
        </w:rPr>
        <w:t>been reported</w:t>
      </w:r>
      <w:r w:rsidRPr="00C84483">
        <w:rPr>
          <w:rFonts w:ascii="Tw Cen MT" w:hAnsi="Tw Cen MT"/>
          <w:sz w:val="18"/>
          <w:szCs w:val="18"/>
        </w:rPr>
        <w:t xml:space="preserve"> that, in the developing countries, 4.5 billion peoples affected because of the chronic exposure of aflatoxin in infected foods</w:t>
      </w:r>
      <w:r w:rsidR="00E91085">
        <w:rPr>
          <w:rFonts w:ascii="Tw Cen MT" w:hAnsi="Tw Cen MT"/>
          <w:sz w:val="18"/>
          <w:szCs w:val="18"/>
          <w:vertAlign w:val="superscript"/>
        </w:rPr>
        <w:t>3</w:t>
      </w:r>
      <w:r w:rsidRPr="00C84483">
        <w:rPr>
          <w:rFonts w:ascii="Tw Cen MT" w:hAnsi="Tw Cen MT"/>
          <w:sz w:val="18"/>
          <w:szCs w:val="18"/>
        </w:rPr>
        <w:t xml:space="preserve">.  However, there is urgent need of some accurate, fast, reliable and specific tool for the detection </w:t>
      </w:r>
      <w:r w:rsidRPr="00C84483">
        <w:rPr>
          <w:rFonts w:ascii="Tw Cen MT" w:hAnsi="Tw Cen MT"/>
          <w:noProof/>
          <w:sz w:val="18"/>
          <w:szCs w:val="18"/>
        </w:rPr>
        <w:t>in</w:t>
      </w:r>
      <w:r w:rsidRPr="00C84483">
        <w:rPr>
          <w:rFonts w:ascii="Tw Cen MT" w:hAnsi="Tw Cen MT"/>
          <w:sz w:val="18"/>
          <w:szCs w:val="18"/>
        </w:rPr>
        <w:t xml:space="preserve"> food contents. </w:t>
      </w:r>
      <w:r w:rsidRPr="00C84483">
        <w:rPr>
          <w:rFonts w:ascii="Tw Cen MT" w:hAnsi="Tw Cen MT"/>
          <w:noProof/>
          <w:sz w:val="18"/>
          <w:szCs w:val="18"/>
        </w:rPr>
        <w:t>The biosensor</w:t>
      </w:r>
      <w:r w:rsidRPr="00C84483">
        <w:rPr>
          <w:rFonts w:ascii="Tw Cen MT" w:hAnsi="Tw Cen MT"/>
          <w:sz w:val="18"/>
          <w:szCs w:val="18"/>
        </w:rPr>
        <w:t xml:space="preserve"> is one of the most suitable and appropriate technique which involve specificity, sensitivity, reliability and selectivity for quantification and determination of food born pathogen. </w:t>
      </w:r>
      <w:r w:rsidRPr="00F32CFA">
        <w:rPr>
          <w:rFonts w:ascii="Tw Cen MT" w:hAnsi="Tw Cen MT"/>
          <w:sz w:val="18"/>
          <w:szCs w:val="18"/>
        </w:rPr>
        <w:t xml:space="preserve">We report results of studies </w:t>
      </w:r>
      <w:r w:rsidR="00F32CFA">
        <w:rPr>
          <w:rFonts w:ascii="Tw Cen MT" w:hAnsi="Tw Cen MT"/>
          <w:sz w:val="18"/>
          <w:szCs w:val="18"/>
        </w:rPr>
        <w:t xml:space="preserve">in the </w:t>
      </w:r>
      <w:proofErr w:type="spellStart"/>
      <w:r w:rsidR="00F32CFA">
        <w:rPr>
          <w:rFonts w:ascii="Tw Cen MT" w:hAnsi="Tw Cen MT"/>
          <w:sz w:val="18"/>
          <w:szCs w:val="18"/>
        </w:rPr>
        <w:t>designed</w:t>
      </w:r>
      <w:proofErr w:type="spellEnd"/>
      <w:r w:rsidR="00F32CFA">
        <w:rPr>
          <w:rFonts w:ascii="Tw Cen MT" w:hAnsi="Tw Cen MT"/>
          <w:sz w:val="18"/>
          <w:szCs w:val="18"/>
        </w:rPr>
        <w:t xml:space="preserve"> of electrochemical immunosensor using graphene quantum dots integrated carbon nanotubes for the determination of aflatoxin B1 in </w:t>
      </w:r>
      <w:proofErr w:type="spellStart"/>
      <w:r w:rsidR="00F32CFA">
        <w:rPr>
          <w:rFonts w:ascii="Tw Cen MT" w:hAnsi="Tw Cen MT"/>
          <w:sz w:val="18"/>
          <w:szCs w:val="18"/>
        </w:rPr>
        <w:t>dialy</w:t>
      </w:r>
      <w:proofErr w:type="spellEnd"/>
      <w:r w:rsidR="00F32CFA">
        <w:rPr>
          <w:rFonts w:ascii="Tw Cen MT" w:hAnsi="Tw Cen MT"/>
          <w:sz w:val="18"/>
          <w:szCs w:val="18"/>
        </w:rPr>
        <w:t xml:space="preserve"> u</w:t>
      </w:r>
      <w:r w:rsidR="00FD2354">
        <w:rPr>
          <w:rFonts w:ascii="Tw Cen MT" w:hAnsi="Tw Cen MT"/>
          <w:sz w:val="18"/>
          <w:szCs w:val="18"/>
        </w:rPr>
        <w:t>s</w:t>
      </w:r>
      <w:r w:rsidR="00F32CFA">
        <w:rPr>
          <w:rFonts w:ascii="Tw Cen MT" w:hAnsi="Tw Cen MT"/>
          <w:sz w:val="18"/>
          <w:szCs w:val="18"/>
        </w:rPr>
        <w:t xml:space="preserve">age food contents. The chemically synthesized graphene quantum dots </w:t>
      </w:r>
      <w:proofErr w:type="spellStart"/>
      <w:r w:rsidR="00F32CFA">
        <w:rPr>
          <w:rFonts w:ascii="Tw Cen MT" w:hAnsi="Tw Cen MT"/>
          <w:sz w:val="18"/>
          <w:szCs w:val="18"/>
        </w:rPr>
        <w:t>interagted</w:t>
      </w:r>
      <w:proofErr w:type="spellEnd"/>
      <w:r w:rsidR="00F32CFA">
        <w:rPr>
          <w:rFonts w:ascii="Tw Cen MT" w:hAnsi="Tw Cen MT"/>
          <w:sz w:val="18"/>
          <w:szCs w:val="18"/>
        </w:rPr>
        <w:t xml:space="preserve"> onto multiwalled carbon nanotubes which further deposited onto ITO coated glass electrode using </w:t>
      </w:r>
      <w:proofErr w:type="spellStart"/>
      <w:r w:rsidR="00F32CFA">
        <w:rPr>
          <w:rFonts w:ascii="Tw Cen MT" w:hAnsi="Tw Cen MT"/>
          <w:sz w:val="18"/>
          <w:szCs w:val="18"/>
        </w:rPr>
        <w:t>electrophoretically</w:t>
      </w:r>
      <w:proofErr w:type="spellEnd"/>
      <w:r w:rsidR="00F32CFA">
        <w:rPr>
          <w:rFonts w:ascii="Tw Cen MT" w:hAnsi="Tw Cen MT"/>
          <w:sz w:val="18"/>
          <w:szCs w:val="18"/>
        </w:rPr>
        <w:t xml:space="preserve"> deposition process. The monoclonal antibodies of aflatoxin B1 immobilized further onto the deposited substrate matri</w:t>
      </w:r>
      <w:r w:rsidR="0035207D">
        <w:rPr>
          <w:rFonts w:ascii="Tw Cen MT" w:hAnsi="Tw Cen MT"/>
          <w:sz w:val="18"/>
          <w:szCs w:val="18"/>
        </w:rPr>
        <w:t>x</w:t>
      </w:r>
      <w:r w:rsidR="00F32CFA">
        <w:rPr>
          <w:rFonts w:ascii="Tw Cen MT" w:hAnsi="Tw Cen MT"/>
          <w:sz w:val="18"/>
          <w:szCs w:val="18"/>
        </w:rPr>
        <w:t xml:space="preserve"> using cross linkers. Various characterization techniques have been utilized for the structural, morphological and electrochemical studies such as </w:t>
      </w:r>
      <w:r w:rsidR="0035207D">
        <w:rPr>
          <w:rFonts w:ascii="Tw Cen MT" w:hAnsi="Tw Cen MT"/>
          <w:sz w:val="18"/>
          <w:szCs w:val="18"/>
        </w:rPr>
        <w:t>T</w:t>
      </w:r>
      <w:r w:rsidR="00F32CFA">
        <w:rPr>
          <w:rFonts w:ascii="Tw Cen MT" w:hAnsi="Tw Cen MT"/>
          <w:sz w:val="18"/>
          <w:szCs w:val="18"/>
        </w:rPr>
        <w:t xml:space="preserve">ransmission </w:t>
      </w:r>
      <w:r w:rsidR="0035207D">
        <w:rPr>
          <w:rFonts w:ascii="Tw Cen MT" w:hAnsi="Tw Cen MT"/>
          <w:sz w:val="18"/>
          <w:szCs w:val="18"/>
        </w:rPr>
        <w:t>E</w:t>
      </w:r>
      <w:r w:rsidR="00F32CFA">
        <w:rPr>
          <w:rFonts w:ascii="Tw Cen MT" w:hAnsi="Tw Cen MT"/>
          <w:sz w:val="18"/>
          <w:szCs w:val="18"/>
        </w:rPr>
        <w:t xml:space="preserve">lectron </w:t>
      </w:r>
      <w:r w:rsidR="0035207D">
        <w:rPr>
          <w:rFonts w:ascii="Tw Cen MT" w:hAnsi="Tw Cen MT"/>
          <w:sz w:val="18"/>
          <w:szCs w:val="18"/>
        </w:rPr>
        <w:t>M</w:t>
      </w:r>
      <w:r w:rsidR="00F32CFA">
        <w:rPr>
          <w:rFonts w:ascii="Tw Cen MT" w:hAnsi="Tw Cen MT"/>
          <w:sz w:val="18"/>
          <w:szCs w:val="18"/>
        </w:rPr>
        <w:t xml:space="preserve">icroscopy, </w:t>
      </w:r>
      <w:r w:rsidR="0035207D">
        <w:rPr>
          <w:rFonts w:ascii="Tw Cen MT" w:hAnsi="Tw Cen MT"/>
          <w:sz w:val="18"/>
          <w:szCs w:val="18"/>
        </w:rPr>
        <w:t>S</w:t>
      </w:r>
      <w:r w:rsidR="00F32CFA">
        <w:rPr>
          <w:rFonts w:ascii="Tw Cen MT" w:hAnsi="Tw Cen MT"/>
          <w:sz w:val="18"/>
          <w:szCs w:val="18"/>
        </w:rPr>
        <w:t xml:space="preserve">canning </w:t>
      </w:r>
      <w:r w:rsidR="0035207D">
        <w:rPr>
          <w:rFonts w:ascii="Tw Cen MT" w:hAnsi="Tw Cen MT"/>
          <w:sz w:val="18"/>
          <w:szCs w:val="18"/>
        </w:rPr>
        <w:t>E</w:t>
      </w:r>
      <w:r w:rsidR="00F32CFA">
        <w:rPr>
          <w:rFonts w:ascii="Tw Cen MT" w:hAnsi="Tw Cen MT"/>
          <w:sz w:val="18"/>
          <w:szCs w:val="18"/>
        </w:rPr>
        <w:t xml:space="preserve">lectron </w:t>
      </w:r>
      <w:r w:rsidR="0035207D">
        <w:rPr>
          <w:rFonts w:ascii="Tw Cen MT" w:hAnsi="Tw Cen MT"/>
          <w:sz w:val="18"/>
          <w:szCs w:val="18"/>
        </w:rPr>
        <w:t>M</w:t>
      </w:r>
      <w:r w:rsidR="00F32CFA">
        <w:rPr>
          <w:rFonts w:ascii="Tw Cen MT" w:hAnsi="Tw Cen MT"/>
          <w:sz w:val="18"/>
          <w:szCs w:val="18"/>
        </w:rPr>
        <w:t xml:space="preserve">icroscopy, UV-visible spectroscopy, </w:t>
      </w:r>
      <w:r w:rsidR="0035207D">
        <w:rPr>
          <w:rFonts w:ascii="Tw Cen MT" w:hAnsi="Tw Cen MT"/>
          <w:sz w:val="18"/>
          <w:szCs w:val="18"/>
        </w:rPr>
        <w:t xml:space="preserve">X-ray Diffraction, Fourier Transform Infrared spectroscopy, etc. Moreover, biosensing </w:t>
      </w:r>
      <w:proofErr w:type="spellStart"/>
      <w:r w:rsidR="0035207D">
        <w:rPr>
          <w:rFonts w:ascii="Tw Cen MT" w:hAnsi="Tw Cen MT"/>
          <w:sz w:val="18"/>
          <w:szCs w:val="18"/>
        </w:rPr>
        <w:t>charcaterstics</w:t>
      </w:r>
      <w:proofErr w:type="spellEnd"/>
      <w:r w:rsidR="0035207D">
        <w:rPr>
          <w:rFonts w:ascii="Tw Cen MT" w:hAnsi="Tw Cen MT"/>
          <w:sz w:val="18"/>
          <w:szCs w:val="18"/>
        </w:rPr>
        <w:t xml:space="preserve"> have been investigated using electrochemical impedance spectroscopy and cyclic voltammetry techniques. The results of this studies demonstrate the potential of this platform for the determination of aflatoxin B1 in fo</w:t>
      </w:r>
      <w:r w:rsidR="00FD2354">
        <w:rPr>
          <w:rFonts w:ascii="Tw Cen MT" w:hAnsi="Tw Cen MT"/>
          <w:sz w:val="18"/>
          <w:szCs w:val="18"/>
        </w:rPr>
        <w:t>o</w:t>
      </w:r>
      <w:r w:rsidR="0035207D">
        <w:rPr>
          <w:rFonts w:ascii="Tw Cen MT" w:hAnsi="Tw Cen MT"/>
          <w:sz w:val="18"/>
          <w:szCs w:val="18"/>
        </w:rPr>
        <w:t>d contents.</w:t>
      </w:r>
    </w:p>
    <w:p w:rsidR="00AE3E37" w:rsidRDefault="00A9710C" w:rsidP="00C84483">
      <w:pPr>
        <w:pStyle w:val="Heading3"/>
        <w:spacing w:before="74"/>
        <w:jc w:val="both"/>
      </w:pPr>
      <w:r w:rsidRPr="00F32CFA">
        <w:rPr>
          <w:rFonts w:ascii="Tw Cen MT" w:hAnsi="Tw Cen MT"/>
          <w:b w:val="0"/>
          <w:sz w:val="18"/>
          <w:szCs w:val="18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BodyText"/>
        <w:spacing w:before="2"/>
        <w:rPr>
          <w:noProof/>
          <w:lang w:val="en-IN" w:eastAsia="en-IN"/>
        </w:rPr>
      </w:pPr>
    </w:p>
    <w:p w:rsidR="003953EF" w:rsidRDefault="00D735EB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5CB656D3">
            <wp:extent cx="3502660" cy="1059180"/>
            <wp:effectExtent l="0" t="0" r="2540" b="762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89" cy="10801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Pr="00E91085" w:rsidRDefault="00E91085" w:rsidP="00E91085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White, D. L., </w:t>
      </w:r>
      <w:proofErr w:type="spellStart"/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Kanwal</w:t>
      </w:r>
      <w:proofErr w:type="spellEnd"/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, F., Jiao, L., &amp; El-</w:t>
      </w:r>
      <w:proofErr w:type="spellStart"/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Serag</w:t>
      </w:r>
      <w:proofErr w:type="spellEnd"/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, H. B. (2016). Epidemiology of Hepatocellular Carcinoma. Springer, Cham 3-24</w:t>
      </w:r>
      <w:r w:rsidR="005973B9" w:rsidRPr="00E91085">
        <w:rPr>
          <w:rFonts w:asciiTheme="minorHAnsi" w:hAnsiTheme="minorHAnsi" w:cstheme="minorHAnsi"/>
          <w:sz w:val="18"/>
          <w:szCs w:val="18"/>
        </w:rPr>
        <w:t>.</w:t>
      </w:r>
    </w:p>
    <w:p w:rsidR="005973B9" w:rsidRPr="00E91085" w:rsidRDefault="00E91085" w:rsidP="00E91085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rFonts w:asciiTheme="minorHAnsi" w:hAnsiTheme="minorHAnsi" w:cstheme="minorHAnsi"/>
          <w:sz w:val="18"/>
          <w:szCs w:val="18"/>
        </w:rPr>
      </w:pPr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da Rocha, M. E. B., Freire, F. D. C. O., Maia, F. E. F., Guedes, M. I. F., &amp; </w:t>
      </w:r>
      <w:proofErr w:type="spellStart"/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Rondina</w:t>
      </w:r>
      <w:proofErr w:type="spellEnd"/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, D. (2014). Mycotoxins and their effects on human and animal health. </w:t>
      </w:r>
      <w:r w:rsidRPr="00E91085">
        <w:rPr>
          <w:rFonts w:asciiTheme="minorHAnsi" w:hAnsiTheme="minorHAnsi" w:cstheme="minorHAnsi"/>
          <w:i/>
          <w:iCs/>
          <w:color w:val="222222"/>
          <w:sz w:val="18"/>
          <w:szCs w:val="18"/>
          <w:shd w:val="clear" w:color="auto" w:fill="FFFFFF"/>
        </w:rPr>
        <w:t>Food Control</w:t>
      </w:r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, </w:t>
      </w:r>
      <w:r w:rsidRPr="00E91085">
        <w:rPr>
          <w:rFonts w:asciiTheme="minorHAnsi" w:hAnsiTheme="minorHAnsi" w:cstheme="minorHAnsi"/>
          <w:i/>
          <w:iCs/>
          <w:color w:val="222222"/>
          <w:sz w:val="18"/>
          <w:szCs w:val="18"/>
          <w:shd w:val="clear" w:color="auto" w:fill="FFFFFF"/>
        </w:rPr>
        <w:t>36</w:t>
      </w:r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(1), 159-</w:t>
      </w:r>
      <w:proofErr w:type="gramStart"/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165.</w:t>
      </w:r>
      <w:r w:rsidR="005973B9" w:rsidRPr="00E91085">
        <w:rPr>
          <w:rFonts w:asciiTheme="minorHAnsi" w:hAnsiTheme="minorHAnsi" w:cstheme="minorHAnsi"/>
          <w:sz w:val="18"/>
          <w:szCs w:val="18"/>
        </w:rPr>
        <w:t>.</w:t>
      </w:r>
      <w:proofErr w:type="gramEnd"/>
    </w:p>
    <w:p w:rsidR="005973B9" w:rsidRPr="00E91085" w:rsidRDefault="00E91085" w:rsidP="00E91085">
      <w:pPr>
        <w:pStyle w:val="ListParagraph"/>
        <w:numPr>
          <w:ilvl w:val="0"/>
          <w:numId w:val="3"/>
        </w:numPr>
        <w:tabs>
          <w:tab w:val="left" w:pos="384"/>
        </w:tabs>
        <w:spacing w:before="0" w:line="218" w:lineRule="exact"/>
        <w:ind w:hanging="283"/>
        <w:rPr>
          <w:rFonts w:asciiTheme="minorHAnsi" w:hAnsiTheme="minorHAnsi" w:cstheme="minorHAnsi"/>
          <w:sz w:val="18"/>
          <w:szCs w:val="18"/>
        </w:rPr>
      </w:pPr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Smith, L. E., </w:t>
      </w:r>
      <w:proofErr w:type="spellStart"/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Stasiewicz</w:t>
      </w:r>
      <w:proofErr w:type="spellEnd"/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, M., </w:t>
      </w:r>
      <w:proofErr w:type="spellStart"/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Hestrin</w:t>
      </w:r>
      <w:proofErr w:type="spellEnd"/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, R., Morales, L., </w:t>
      </w:r>
      <w:proofErr w:type="spellStart"/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Mutiga</w:t>
      </w:r>
      <w:proofErr w:type="spellEnd"/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, S., &amp; Nelson, R. J. (2016). Examining environmental drivers of spatial variability in aflatoxin accumulation in Kenyan maize: potential utility in risk prediction models. </w:t>
      </w:r>
      <w:r w:rsidRPr="00E91085">
        <w:rPr>
          <w:rFonts w:asciiTheme="minorHAnsi" w:hAnsiTheme="minorHAnsi" w:cstheme="minorHAnsi"/>
          <w:i/>
          <w:iCs/>
          <w:color w:val="222222"/>
          <w:sz w:val="18"/>
          <w:szCs w:val="18"/>
          <w:shd w:val="clear" w:color="auto" w:fill="FFFFFF"/>
        </w:rPr>
        <w:t>African Journal of Food, Agriculture, Nutrition and Development</w:t>
      </w:r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, </w:t>
      </w:r>
      <w:r w:rsidRPr="00E91085">
        <w:rPr>
          <w:rFonts w:asciiTheme="minorHAnsi" w:hAnsiTheme="minorHAnsi" w:cstheme="minorHAnsi"/>
          <w:i/>
          <w:iCs/>
          <w:color w:val="222222"/>
          <w:sz w:val="18"/>
          <w:szCs w:val="18"/>
          <w:shd w:val="clear" w:color="auto" w:fill="FFFFFF"/>
        </w:rPr>
        <w:t>16</w:t>
      </w:r>
      <w:r w:rsidRPr="00E91085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(3), 11086-11105.</w:t>
      </w:r>
      <w:r w:rsidRPr="00E91085">
        <w:rPr>
          <w:rFonts w:asciiTheme="minorHAnsi" w:hAnsiTheme="minorHAnsi" w:cstheme="minorHAnsi"/>
          <w:sz w:val="18"/>
          <w:szCs w:val="18"/>
        </w:rPr>
        <w:t xml:space="preserve"> </w:t>
      </w:r>
      <w:r w:rsidR="005973B9" w:rsidRPr="00E91085">
        <w:rPr>
          <w:rFonts w:asciiTheme="minorHAnsi" w:hAnsiTheme="minorHAnsi" w:cstheme="minorHAnsi"/>
          <w:sz w:val="18"/>
          <w:szCs w:val="18"/>
        </w:rPr>
        <w:t xml:space="preserve">Room R, </w:t>
      </w:r>
      <w:proofErr w:type="spellStart"/>
      <w:r w:rsidR="005973B9" w:rsidRPr="00E91085">
        <w:rPr>
          <w:rFonts w:asciiTheme="minorHAnsi" w:hAnsiTheme="minorHAnsi" w:cstheme="minorHAnsi"/>
          <w:sz w:val="18"/>
          <w:szCs w:val="18"/>
        </w:rPr>
        <w:t>Babor</w:t>
      </w:r>
      <w:r w:rsidR="005973B9" w:rsidRPr="00E91085">
        <w:rPr>
          <w:rFonts w:asciiTheme="minorHAnsi" w:hAnsiTheme="minorHAnsi" w:cstheme="minorHAnsi"/>
          <w:spacing w:val="-10"/>
          <w:sz w:val="18"/>
          <w:szCs w:val="18"/>
        </w:rPr>
        <w:t>T</w:t>
      </w:r>
      <w:proofErr w:type="spellEnd"/>
      <w:r w:rsidR="005973B9" w:rsidRPr="00E91085">
        <w:rPr>
          <w:rFonts w:asciiTheme="minorHAnsi" w:hAnsiTheme="minorHAnsi" w:cstheme="minorHAnsi"/>
          <w:spacing w:val="-10"/>
          <w:sz w:val="18"/>
          <w:szCs w:val="18"/>
        </w:rPr>
        <w:t xml:space="preserve">, </w:t>
      </w:r>
      <w:r w:rsidR="005973B9" w:rsidRPr="00E91085">
        <w:rPr>
          <w:rFonts w:asciiTheme="minorHAnsi" w:hAnsiTheme="minorHAnsi" w:cstheme="minorHAnsi"/>
          <w:sz w:val="18"/>
          <w:szCs w:val="18"/>
        </w:rPr>
        <w:t>Rehm J (2005) Alcohol and public health. Lancet</w:t>
      </w:r>
    </w:p>
    <w:p w:rsidR="005973B9" w:rsidRDefault="005973B9" w:rsidP="00E91085">
      <w:pPr>
        <w:pStyle w:val="BodyText"/>
        <w:spacing w:line="218" w:lineRule="exact"/>
        <w:ind w:left="383"/>
        <w:rPr>
          <w:rFonts w:asciiTheme="minorHAnsi" w:hAnsiTheme="minorHAnsi" w:cstheme="minorHAnsi"/>
        </w:rPr>
      </w:pPr>
      <w:r w:rsidRPr="00E91085">
        <w:rPr>
          <w:rFonts w:asciiTheme="minorHAnsi" w:hAnsiTheme="minorHAnsi" w:cstheme="minorHAnsi"/>
        </w:rPr>
        <w:t>365: 519-530.</w:t>
      </w:r>
    </w:p>
    <w:p w:rsidR="00E91085" w:rsidRPr="00E91085" w:rsidRDefault="00E91085" w:rsidP="00E91085">
      <w:pPr>
        <w:pStyle w:val="BodyText"/>
        <w:numPr>
          <w:ilvl w:val="0"/>
          <w:numId w:val="3"/>
        </w:numPr>
        <w:spacing w:line="218" w:lineRule="exact"/>
        <w:rPr>
          <w:rFonts w:asciiTheme="minorHAnsi" w:hAnsiTheme="minorHAnsi" w:cstheme="minorHAnsi"/>
        </w:rPr>
      </w:pPr>
      <w:proofErr w:type="spellStart"/>
      <w:r w:rsidRPr="00E91085">
        <w:rPr>
          <w:rFonts w:asciiTheme="minorHAnsi" w:hAnsiTheme="minorHAnsi" w:cstheme="minorHAnsi"/>
          <w:color w:val="222222"/>
          <w:shd w:val="clear" w:color="auto" w:fill="FFFFFF"/>
        </w:rPr>
        <w:t>Hou</w:t>
      </w:r>
      <w:proofErr w:type="spellEnd"/>
      <w:r w:rsidRPr="00E91085">
        <w:rPr>
          <w:rFonts w:asciiTheme="minorHAnsi" w:hAnsiTheme="minorHAnsi" w:cstheme="minorHAnsi"/>
          <w:color w:val="222222"/>
          <w:shd w:val="clear" w:color="auto" w:fill="FFFFFF"/>
        </w:rPr>
        <w:t xml:space="preserve">, L., Gan, F., Zhou, X., Zhou, Y., Qian, G., Liu, Z., &amp; Huang, K. (2018). </w:t>
      </w:r>
      <w:proofErr w:type="spellStart"/>
      <w:r w:rsidRPr="00E91085">
        <w:rPr>
          <w:rFonts w:asciiTheme="minorHAnsi" w:hAnsiTheme="minorHAnsi" w:cstheme="minorHAnsi"/>
          <w:color w:val="222222"/>
          <w:shd w:val="clear" w:color="auto" w:fill="FFFFFF"/>
        </w:rPr>
        <w:t>Immunotoxicity</w:t>
      </w:r>
      <w:proofErr w:type="spellEnd"/>
      <w:r w:rsidRPr="00E91085">
        <w:rPr>
          <w:rFonts w:asciiTheme="minorHAnsi" w:hAnsiTheme="minorHAnsi" w:cstheme="minorHAnsi"/>
          <w:color w:val="222222"/>
          <w:shd w:val="clear" w:color="auto" w:fill="FFFFFF"/>
        </w:rPr>
        <w:t xml:space="preserve"> of ochratoxin A and aflatoxin B1 in combination is associated with the nuclear factor kappa B signaling pathway in 3D4/21 cells. </w:t>
      </w:r>
      <w:r w:rsidRPr="00E91085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>Chemosphere</w:t>
      </w:r>
      <w:r w:rsidRPr="00E91085">
        <w:rPr>
          <w:rFonts w:asciiTheme="minorHAnsi" w:hAnsiTheme="minorHAnsi" w:cstheme="minorHAnsi"/>
          <w:color w:val="222222"/>
          <w:shd w:val="clear" w:color="auto" w:fill="FFFFFF"/>
        </w:rPr>
        <w:t>, </w:t>
      </w:r>
      <w:r w:rsidRPr="00E91085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>199</w:t>
      </w:r>
      <w:r w:rsidRPr="00E91085">
        <w:rPr>
          <w:rFonts w:asciiTheme="minorHAnsi" w:hAnsiTheme="minorHAnsi" w:cstheme="minorHAnsi"/>
          <w:color w:val="222222"/>
          <w:shd w:val="clear" w:color="auto" w:fill="FFFFFF"/>
        </w:rPr>
        <w:t>, 718-727.</w:t>
      </w:r>
    </w:p>
    <w:p w:rsidR="005973B9" w:rsidRPr="00E91085" w:rsidRDefault="00E91085" w:rsidP="00E91085">
      <w:pPr>
        <w:pStyle w:val="BodyText"/>
        <w:spacing w:line="216" w:lineRule="exact"/>
        <w:ind w:left="383" w:right="138" w:hanging="284"/>
        <w:jc w:val="both"/>
        <w:rPr>
          <w:rFonts w:asciiTheme="minorHAnsi" w:hAnsiTheme="minorHAnsi" w:cstheme="minorHAnsi"/>
        </w:rPr>
      </w:pPr>
      <w:r>
        <w:rPr>
          <w:rFonts w:ascii="Calibri" w:hAnsi="Calibri"/>
        </w:rPr>
        <w:t>5</w:t>
      </w:r>
      <w:r w:rsidR="005973B9">
        <w:rPr>
          <w:rFonts w:ascii="Calibri" w:hAnsi="Calibri"/>
        </w:rPr>
        <w:t xml:space="preserve">. </w:t>
      </w:r>
      <w:proofErr w:type="spellStart"/>
      <w:r w:rsidRPr="00E91085">
        <w:rPr>
          <w:rFonts w:asciiTheme="minorHAnsi" w:hAnsiTheme="minorHAnsi" w:cstheme="minorHAnsi"/>
          <w:color w:val="222222"/>
          <w:shd w:val="clear" w:color="auto" w:fill="FFFFFF"/>
        </w:rPr>
        <w:t>Songa</w:t>
      </w:r>
      <w:proofErr w:type="spellEnd"/>
      <w:r w:rsidRPr="00E91085">
        <w:rPr>
          <w:rFonts w:asciiTheme="minorHAnsi" w:hAnsiTheme="minorHAnsi" w:cstheme="minorHAnsi"/>
          <w:color w:val="222222"/>
          <w:shd w:val="clear" w:color="auto" w:fill="FFFFFF"/>
        </w:rPr>
        <w:t>, E. A., &amp; Okonkwo, J. O. (2016). Recent approaches to improving selectivity and sensitivity of enzyme-based biosensors for organophosphorus pesticides: A review. </w:t>
      </w:r>
      <w:proofErr w:type="spellStart"/>
      <w:r w:rsidRPr="00E91085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>Talanta</w:t>
      </w:r>
      <w:proofErr w:type="spellEnd"/>
      <w:r w:rsidRPr="00E91085">
        <w:rPr>
          <w:rFonts w:asciiTheme="minorHAnsi" w:hAnsiTheme="minorHAnsi" w:cstheme="minorHAnsi"/>
          <w:color w:val="222222"/>
          <w:shd w:val="clear" w:color="auto" w:fill="FFFFFF"/>
        </w:rPr>
        <w:t>, </w:t>
      </w:r>
      <w:r w:rsidRPr="00E91085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>155</w:t>
      </w:r>
      <w:r w:rsidRPr="00E91085">
        <w:rPr>
          <w:rFonts w:asciiTheme="minorHAnsi" w:hAnsiTheme="minorHAnsi" w:cstheme="minorHAnsi"/>
          <w:color w:val="222222"/>
          <w:shd w:val="clear" w:color="auto" w:fill="FFFFFF"/>
        </w:rPr>
        <w:t>, 289-304.</w:t>
      </w:r>
    </w:p>
    <w:p w:rsidR="00E91085" w:rsidRDefault="00E91085">
      <w:pPr>
        <w:spacing w:line="200" w:lineRule="exact"/>
        <w:jc w:val="both"/>
        <w:rPr>
          <w:rFonts w:ascii="Calibri" w:hAnsi="Calibri"/>
        </w:rPr>
        <w:sectPr w:rsidR="00E9108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21941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735EB">
        <w:rPr>
          <w:noProof/>
        </w:rPr>
        <w:drawing>
          <wp:inline distT="0" distB="0" distL="0" distR="0">
            <wp:extent cx="580571" cy="487680"/>
            <wp:effectExtent l="0" t="0" r="0" b="762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333"/>
                    <a:stretch/>
                  </pic:blipFill>
                  <pic:spPr bwMode="auto">
                    <a:xfrm>
                      <a:off x="0" y="0"/>
                      <a:ext cx="586756" cy="49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D735EB" w:rsidRDefault="00D735EB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D735EB">
        <w:rPr>
          <w:rFonts w:ascii="Arial" w:hAnsi="Arial" w:cs="Arial"/>
          <w:sz w:val="14"/>
          <w:szCs w:val="14"/>
        </w:rPr>
        <w:t>Hema Bhardwaj is working as a doctoral ca</w:t>
      </w:r>
      <w:bookmarkStart w:id="0" w:name="_GoBack"/>
      <w:bookmarkEnd w:id="0"/>
      <w:r w:rsidRPr="00D735EB">
        <w:rPr>
          <w:rFonts w:ascii="Arial" w:hAnsi="Arial" w:cs="Arial"/>
          <w:sz w:val="14"/>
          <w:szCs w:val="14"/>
        </w:rPr>
        <w:t>ndidate at Biomedical Instrumentation Section, CSIR-National Physical Laboratory, New Delhi, India</w:t>
      </w:r>
      <w:r>
        <w:rPr>
          <w:rFonts w:ascii="Arial" w:hAnsi="Arial" w:cs="Arial"/>
          <w:sz w:val="14"/>
          <w:szCs w:val="14"/>
        </w:rPr>
        <w:t xml:space="preserve"> in collaboration with </w:t>
      </w:r>
      <w:proofErr w:type="spellStart"/>
      <w:r>
        <w:rPr>
          <w:rFonts w:ascii="Arial" w:hAnsi="Arial" w:cs="Arial"/>
          <w:sz w:val="14"/>
          <w:szCs w:val="14"/>
        </w:rPr>
        <w:t>supramoleculaires</w:t>
      </w:r>
      <w:proofErr w:type="spellEnd"/>
      <w:r>
        <w:rPr>
          <w:rFonts w:ascii="Arial" w:hAnsi="Arial" w:cs="Arial"/>
          <w:sz w:val="14"/>
          <w:szCs w:val="14"/>
        </w:rPr>
        <w:t xml:space="preserve"> University Lyon 1, ICBMS, </w:t>
      </w:r>
      <w:proofErr w:type="spellStart"/>
      <w:proofErr w:type="gramStart"/>
      <w:r>
        <w:rPr>
          <w:rFonts w:ascii="Arial" w:hAnsi="Arial" w:cs="Arial"/>
          <w:sz w:val="14"/>
          <w:szCs w:val="14"/>
        </w:rPr>
        <w:t>Villeubanne,France</w:t>
      </w:r>
      <w:proofErr w:type="spellEnd"/>
      <w:proofErr w:type="gramEnd"/>
      <w:r w:rsidRPr="00D735EB">
        <w:rPr>
          <w:rFonts w:ascii="Arial" w:hAnsi="Arial" w:cs="Arial"/>
          <w:sz w:val="14"/>
          <w:szCs w:val="14"/>
        </w:rPr>
        <w:t>. She received her M.Sc. degree in Chemistry from Amity University, Noida, U.P, in 2014. She is working on fabrication of immunosensor using nanomaterials for the detection of food borne</w:t>
      </w:r>
      <w:r w:rsidR="00546426">
        <w:rPr>
          <w:rFonts w:ascii="Arial" w:hAnsi="Arial" w:cs="Arial"/>
          <w:sz w:val="14"/>
          <w:szCs w:val="14"/>
        </w:rPr>
        <w:t xml:space="preserve"> myco</w:t>
      </w:r>
      <w:r w:rsidRPr="00D735EB">
        <w:rPr>
          <w:rFonts w:ascii="Arial" w:hAnsi="Arial" w:cs="Arial"/>
          <w:sz w:val="14"/>
          <w:szCs w:val="14"/>
        </w:rPr>
        <w:t>toxin like aflatoxin B1</w:t>
      </w:r>
      <w:r w:rsidR="00A9710C" w:rsidRPr="00D735EB">
        <w:rPr>
          <w:rFonts w:ascii="Arial" w:hAnsi="Arial" w:cs="Arial"/>
          <w:sz w:val="14"/>
          <w:szCs w:val="14"/>
        </w:rPr>
        <w:t>.</w:t>
      </w:r>
    </w:p>
    <w:p w:rsidR="00AE3E37" w:rsidRPr="0035207D" w:rsidRDefault="00A9710C" w:rsidP="0035207D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C36F6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D735EB">
        <w:rPr>
          <w:rFonts w:ascii="Arial"/>
          <w:sz w:val="14"/>
        </w:rPr>
        <w:t>hema_bhardwaj28@yahoo.in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5CF7" w:rsidRDefault="001E5CF7">
      <w:r>
        <w:separator/>
      </w:r>
    </w:p>
  </w:endnote>
  <w:endnote w:type="continuationSeparator" w:id="0">
    <w:p w:rsidR="001E5CF7" w:rsidRDefault="001E5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5CF7" w:rsidRDefault="001E5CF7">
      <w:r>
        <w:separator/>
      </w:r>
    </w:p>
  </w:footnote>
  <w:footnote w:type="continuationSeparator" w:id="0">
    <w:p w:rsidR="001E5CF7" w:rsidRDefault="001E5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E669B"/>
    <w:multiLevelType w:val="hybridMultilevel"/>
    <w:tmpl w:val="180CE7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697089BC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cxN7KwNDG2MDWwNDRR0lEKTi0uzszPAykwqgUAbTpPgSwAAAA="/>
  </w:docVars>
  <w:rsids>
    <w:rsidRoot w:val="00AE3E37"/>
    <w:rsid w:val="000E2911"/>
    <w:rsid w:val="00107B73"/>
    <w:rsid w:val="001263DF"/>
    <w:rsid w:val="001E5CF7"/>
    <w:rsid w:val="0021415F"/>
    <w:rsid w:val="00292ED9"/>
    <w:rsid w:val="0035207D"/>
    <w:rsid w:val="003953EF"/>
    <w:rsid w:val="003C0D6D"/>
    <w:rsid w:val="003E0DD6"/>
    <w:rsid w:val="00404E5B"/>
    <w:rsid w:val="00414F7B"/>
    <w:rsid w:val="004355DC"/>
    <w:rsid w:val="004749B4"/>
    <w:rsid w:val="00494130"/>
    <w:rsid w:val="004F3523"/>
    <w:rsid w:val="004F57E1"/>
    <w:rsid w:val="00546426"/>
    <w:rsid w:val="005973B9"/>
    <w:rsid w:val="005B3A56"/>
    <w:rsid w:val="005C3CD4"/>
    <w:rsid w:val="006060CE"/>
    <w:rsid w:val="0063497F"/>
    <w:rsid w:val="006677CF"/>
    <w:rsid w:val="00676EAC"/>
    <w:rsid w:val="006773C5"/>
    <w:rsid w:val="007B43A5"/>
    <w:rsid w:val="00873DF0"/>
    <w:rsid w:val="008756E6"/>
    <w:rsid w:val="00902071"/>
    <w:rsid w:val="009052DD"/>
    <w:rsid w:val="009B2D44"/>
    <w:rsid w:val="00A0051D"/>
    <w:rsid w:val="00A07E82"/>
    <w:rsid w:val="00A9710C"/>
    <w:rsid w:val="00AE3E37"/>
    <w:rsid w:val="00B21A57"/>
    <w:rsid w:val="00BB3AC6"/>
    <w:rsid w:val="00BF4C16"/>
    <w:rsid w:val="00C33602"/>
    <w:rsid w:val="00C84483"/>
    <w:rsid w:val="00C9149C"/>
    <w:rsid w:val="00CA2F69"/>
    <w:rsid w:val="00CD6F55"/>
    <w:rsid w:val="00D735EB"/>
    <w:rsid w:val="00D914A0"/>
    <w:rsid w:val="00DE3104"/>
    <w:rsid w:val="00E91085"/>
    <w:rsid w:val="00F32CFA"/>
    <w:rsid w:val="00F72EEA"/>
    <w:rsid w:val="00F84CAE"/>
    <w:rsid w:val="00FD2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CB2631"/>
  <w15:docId w15:val="{35441DC5-59E9-4795-9E82-D8B3EE4E9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C84483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Hema Bhardwaj</cp:lastModifiedBy>
  <cp:revision>7</cp:revision>
  <cp:lastPrinted>2018-04-06T12:06:00Z</cp:lastPrinted>
  <dcterms:created xsi:type="dcterms:W3CDTF">2018-04-06T10:54:00Z</dcterms:created>
  <dcterms:modified xsi:type="dcterms:W3CDTF">2018-04-06T13:25:00Z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