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B0E0B" w:rsidP="00494130">
      <w:pPr>
        <w:pStyle w:val="1"/>
        <w:spacing w:before="170"/>
        <w:ind w:left="0"/>
      </w:pPr>
      <w:r>
        <w:rPr>
          <w:color w:val="337AB7"/>
        </w:rPr>
        <w:t>S-</w:t>
      </w:r>
      <w:proofErr w:type="spellStart"/>
      <w:r>
        <w:rPr>
          <w:color w:val="337AB7"/>
        </w:rPr>
        <w:t>Nitrosated</w:t>
      </w:r>
      <w:proofErr w:type="spellEnd"/>
      <w:r>
        <w:rPr>
          <w:color w:val="337AB7"/>
        </w:rPr>
        <w:t xml:space="preserve"> human serum albumin </w:t>
      </w:r>
      <w:r w:rsidR="00EC5C6C">
        <w:rPr>
          <w:color w:val="337AB7"/>
        </w:rPr>
        <w:t xml:space="preserve">dimer </w:t>
      </w:r>
      <w:r>
        <w:rPr>
          <w:color w:val="337AB7"/>
        </w:rPr>
        <w:t>with superior antitumor activity</w:t>
      </w:r>
      <w:r w:rsidR="00A94CD3">
        <w:rPr>
          <w:color w:val="337AB7"/>
        </w:rPr>
        <w:t>,</w:t>
      </w:r>
      <w:r>
        <w:rPr>
          <w:color w:val="337AB7"/>
        </w:rPr>
        <w:t xml:space="preserve"> </w:t>
      </w:r>
      <w:r w:rsidR="00A94CD3">
        <w:rPr>
          <w:color w:val="337AB7"/>
        </w:rPr>
        <w:t xml:space="preserve">long blood retention </w:t>
      </w:r>
      <w:r>
        <w:rPr>
          <w:color w:val="337AB7"/>
        </w:rPr>
        <w:t>and excellent EPR effect</w:t>
      </w:r>
      <w:r w:rsidR="00A9710C">
        <w:rPr>
          <w:color w:val="337AB7"/>
        </w:rPr>
        <w:t xml:space="preserve"> </w:t>
      </w:r>
    </w:p>
    <w:p w:rsidR="00337608" w:rsidRDefault="00337608" w:rsidP="005973B9">
      <w:pPr>
        <w:pStyle w:val="a3"/>
        <w:spacing w:before="73" w:line="198" w:lineRule="exact"/>
        <w:ind w:left="100" w:right="5987"/>
        <w:rPr>
          <w:rFonts w:ascii="Arial"/>
        </w:rPr>
      </w:pPr>
      <w:r>
        <w:rPr>
          <w:rFonts w:ascii="Arial"/>
        </w:rPr>
        <w:t xml:space="preserve">Masaki Otagiri, </w:t>
      </w:r>
      <w:r w:rsidR="008B0E0B">
        <w:rPr>
          <w:rFonts w:ascii="Arial"/>
        </w:rPr>
        <w:t>PhD</w:t>
      </w:r>
      <w:r>
        <w:rPr>
          <w:rFonts w:ascii="Arial"/>
        </w:rPr>
        <w:t xml:space="preserve">, </w:t>
      </w:r>
      <w:proofErr w:type="spellStart"/>
      <w:r>
        <w:rPr>
          <w:rFonts w:ascii="Arial"/>
        </w:rPr>
        <w:t>Sojo</w:t>
      </w:r>
      <w:proofErr w:type="spellEnd"/>
      <w:r>
        <w:rPr>
          <w:rFonts w:ascii="Arial"/>
        </w:rPr>
        <w:t xml:space="preserve"> University, Japan</w:t>
      </w:r>
    </w:p>
    <w:p w:rsidR="00337608" w:rsidRDefault="00337608" w:rsidP="005973B9">
      <w:pPr>
        <w:pStyle w:val="a3"/>
        <w:spacing w:before="73" w:line="198" w:lineRule="exact"/>
        <w:ind w:left="100" w:right="5987"/>
        <w:rPr>
          <w:rFonts w:ascii="Arial"/>
        </w:rPr>
      </w:pPr>
      <w:r>
        <w:rPr>
          <w:rFonts w:ascii="Arial"/>
        </w:rPr>
        <w:t xml:space="preserve">Yu </w:t>
      </w:r>
      <w:proofErr w:type="spellStart"/>
      <w:r>
        <w:rPr>
          <w:rFonts w:ascii="Arial"/>
        </w:rPr>
        <w:t>Ishima</w:t>
      </w:r>
      <w:proofErr w:type="spellEnd"/>
      <w:r>
        <w:rPr>
          <w:rFonts w:ascii="Arial"/>
        </w:rPr>
        <w:t>, PhD, Tokushima University, Japan</w:t>
      </w:r>
    </w:p>
    <w:p w:rsidR="005973B9" w:rsidRDefault="00337608" w:rsidP="005973B9">
      <w:pPr>
        <w:pStyle w:val="a3"/>
        <w:spacing w:before="73" w:line="198" w:lineRule="exact"/>
        <w:ind w:left="100" w:right="5987"/>
        <w:rPr>
          <w:rFonts w:ascii="Arial"/>
        </w:rPr>
      </w:pPr>
      <w:r>
        <w:rPr>
          <w:rFonts w:ascii="Arial"/>
        </w:rPr>
        <w:t>Toru Maruyama</w:t>
      </w:r>
      <w:r w:rsidR="001F1C59">
        <w:rPr>
          <w:rFonts w:ascii="Arial"/>
        </w:rPr>
        <w:t>, PhD,</w:t>
      </w:r>
      <w:r>
        <w:rPr>
          <w:rFonts w:ascii="Arial"/>
        </w:rPr>
        <w:t xml:space="preserve"> Kumamoto University</w:t>
      </w:r>
      <w:r w:rsidR="00AF2C2D">
        <w:rPr>
          <w:rFonts w:ascii="Arial"/>
        </w:rPr>
        <w:t>, 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B104F3" w:rsidRDefault="00346049" w:rsidP="006A20C0">
      <w:pPr>
        <w:pStyle w:val="a3"/>
        <w:spacing w:before="90" w:line="280" w:lineRule="auto"/>
        <w:ind w:left="100"/>
        <w:jc w:val="both"/>
      </w:pPr>
      <w:r>
        <w:t xml:space="preserve">Objective:  </w:t>
      </w:r>
      <w:r w:rsidR="005B4D54">
        <w:t>Recomb</w:t>
      </w:r>
      <w:r w:rsidR="00470C20">
        <w:t>inant human serum albumin dimer (HSA-dimer) was produced by the yeast Pichia pastoris. HSA</w:t>
      </w:r>
      <w:r w:rsidR="00B104F3">
        <w:t xml:space="preserve">-dimer has a </w:t>
      </w:r>
      <w:r w:rsidR="00470C20">
        <w:t>longer circulation, compared with HSA</w:t>
      </w:r>
      <w:r w:rsidR="00B104F3">
        <w:t>-monome</w:t>
      </w:r>
      <w:r w:rsidR="00470C20">
        <w:t xml:space="preserve">r.  </w:t>
      </w:r>
      <w:r w:rsidR="00B104F3">
        <w:t>Thus, HSA-</w:t>
      </w:r>
      <w:r w:rsidR="00470C20">
        <w:t>d</w:t>
      </w:r>
      <w:r w:rsidR="00B104F3">
        <w:t>imer is expected to have an enhanced accumulation in solid tumor via the EPR mechanism du</w:t>
      </w:r>
      <w:r w:rsidR="00DC0465">
        <w:t xml:space="preserve">e to its large molecular </w:t>
      </w:r>
      <w:proofErr w:type="gramStart"/>
      <w:r w:rsidR="00DC0465">
        <w:t>weight(</w:t>
      </w:r>
      <w:proofErr w:type="gramEnd"/>
      <w:r w:rsidR="00DC0465">
        <w:t xml:space="preserve">130 </w:t>
      </w:r>
      <w:proofErr w:type="spellStart"/>
      <w:r w:rsidR="00DC0465">
        <w:t>kDa</w:t>
      </w:r>
      <w:proofErr w:type="spellEnd"/>
      <w:r w:rsidR="00DC0465">
        <w:t>)</w:t>
      </w:r>
      <w:r>
        <w:t xml:space="preserve">. </w:t>
      </w:r>
      <w:r w:rsidR="00DC0465">
        <w:t xml:space="preserve"> </w:t>
      </w:r>
      <w:r w:rsidR="00B104F3">
        <w:t>In this conference, we will present a novel</w:t>
      </w:r>
      <w:r w:rsidR="00DC0465">
        <w:t xml:space="preserve"> DDS system of NO, potential anticancer therapeutic, using HSA-dimer as a carrier, namely, SNO-HSA</w:t>
      </w:r>
      <w:r>
        <w:t>-di</w:t>
      </w:r>
      <w:r w:rsidR="008055F4">
        <w:t>mer.              Results and Dis</w:t>
      </w:r>
      <w:r>
        <w:t xml:space="preserve">cussion: </w:t>
      </w:r>
      <w:r w:rsidR="00DC0465">
        <w:t xml:space="preserve">SNO-HSA-dimer treatment induced </w:t>
      </w:r>
      <w:proofErr w:type="gramStart"/>
      <w:r w:rsidR="00DC0465">
        <w:t>apoptosis  of</w:t>
      </w:r>
      <w:proofErr w:type="gramEnd"/>
      <w:r w:rsidR="00DC0465">
        <w:t xml:space="preserve"> C26 tumor cells in vitro</w:t>
      </w:r>
      <w:r>
        <w:t xml:space="preserve">, depending on the concentration of NO. In in vivo experiments, SNO-HSA-dimer was found to specifically deliver large amounts of cytotoxic NO into tumor tissue </w:t>
      </w:r>
      <w:r w:rsidR="00E734E5">
        <w:t>but not into normal organs in C26 tumor-bearing mice.</w:t>
      </w:r>
      <w:r w:rsidR="00D87E48">
        <w:t xml:space="preserve"> Interestingly, SNO-HSA-dimer caused a much higher concentration of NOx in the tumor than SNO-HSA-monomer. Moreover, especially, SNO-HSA-dimer has a high level of blood retention. </w:t>
      </w:r>
      <w:r w:rsidR="00CF3712">
        <w:t xml:space="preserve"> The accumulation of SNO-HSA-dimer in tumor tissue significantly high compared with </w:t>
      </w:r>
      <w:r w:rsidR="008055F4">
        <w:t>SNO-HSA-monomer</w:t>
      </w:r>
      <w:r w:rsidR="006A20C0">
        <w:t>, suggesti</w:t>
      </w:r>
      <w:r w:rsidR="00397429">
        <w:t>ng that S-</w:t>
      </w:r>
      <w:proofErr w:type="spellStart"/>
      <w:r w:rsidR="00397429">
        <w:t>nitrosation</w:t>
      </w:r>
      <w:proofErr w:type="spellEnd"/>
      <w:r w:rsidR="00397429">
        <w:t xml:space="preserve"> of SNO-HSA</w:t>
      </w:r>
      <w:r w:rsidR="006A20C0">
        <w:t>-dimer further enhanced its EPR effect.</w:t>
      </w:r>
      <w:r w:rsidR="00322750">
        <w:t xml:space="preserve"> </w:t>
      </w:r>
      <w:r w:rsidR="002B50D7">
        <w:t>Next</w:t>
      </w:r>
      <w:r w:rsidR="00264548">
        <w:t>, we examined whether SNO-HSA-dimer can enhance the activity of other macromolecular antitumor drugs v</w:t>
      </w:r>
      <w:r w:rsidR="00397429">
        <w:t>ia the augmented EPR effects. As</w:t>
      </w:r>
      <w:r w:rsidR="00264548">
        <w:t xml:space="preserve"> antitumor drugs</w:t>
      </w:r>
      <w:r w:rsidR="00397429">
        <w:t>,</w:t>
      </w:r>
      <w:r w:rsidR="00264548">
        <w:t xml:space="preserve"> we selected N-(2-hydroxypropyl</w:t>
      </w:r>
      <w:proofErr w:type="gramStart"/>
      <w:r w:rsidR="00264548">
        <w:t>)</w:t>
      </w:r>
      <w:proofErr w:type="spellStart"/>
      <w:r w:rsidR="00264548">
        <w:t>methacrylamide</w:t>
      </w:r>
      <w:proofErr w:type="spellEnd"/>
      <w:proofErr w:type="gramEnd"/>
      <w:r w:rsidR="00264548">
        <w:t xml:space="preserve"> (HPMA)-zinc </w:t>
      </w:r>
      <w:proofErr w:type="spellStart"/>
      <w:r w:rsidR="00264548">
        <w:t>proporphyrin</w:t>
      </w:r>
      <w:proofErr w:type="spellEnd"/>
      <w:r w:rsidR="00264548">
        <w:t xml:space="preserve"> (</w:t>
      </w:r>
      <w:proofErr w:type="spellStart"/>
      <w:r w:rsidR="00264548">
        <w:t>ZnPP</w:t>
      </w:r>
      <w:proofErr w:type="spellEnd"/>
      <w:r w:rsidR="00264548">
        <w:t xml:space="preserve">) and </w:t>
      </w:r>
      <w:proofErr w:type="spellStart"/>
      <w:r w:rsidR="00264548">
        <w:t>Doxil</w:t>
      </w:r>
      <w:proofErr w:type="spellEnd"/>
      <w:r w:rsidR="00264548">
        <w:t>. HPMA-</w:t>
      </w:r>
      <w:proofErr w:type="spellStart"/>
      <w:proofErr w:type="gramStart"/>
      <w:r w:rsidR="00264548">
        <w:t>ZnPP</w:t>
      </w:r>
      <w:proofErr w:type="spellEnd"/>
      <w:r w:rsidR="00264548">
        <w:t>(</w:t>
      </w:r>
      <w:proofErr w:type="gramEnd"/>
      <w:r w:rsidR="00264548">
        <w:t>mean particle size:80nm)</w:t>
      </w:r>
      <w:r w:rsidR="00CF2227">
        <w:t xml:space="preserve"> forms micelles and </w:t>
      </w:r>
      <w:proofErr w:type="spellStart"/>
      <w:r w:rsidR="00CF2227">
        <w:t>Doxil</w:t>
      </w:r>
      <w:proofErr w:type="spellEnd"/>
      <w:r w:rsidR="00CF2227">
        <w:t xml:space="preserve"> has liposomal structure(mean particle size:90nm). The tumor growth was</w:t>
      </w:r>
      <w:r w:rsidR="00524027">
        <w:t xml:space="preserve"> significantly</w:t>
      </w:r>
      <w:r w:rsidR="00CF2227">
        <w:t xml:space="preserve"> inhibited</w:t>
      </w:r>
      <w:r w:rsidR="00A232DA">
        <w:t xml:space="preserve"> when the two compounds were given simultaneously. The combination of SN</w:t>
      </w:r>
      <w:r w:rsidR="000B6BC5">
        <w:t>O</w:t>
      </w:r>
      <w:r w:rsidR="00A232DA">
        <w:t xml:space="preserve">-HSA-dimer </w:t>
      </w:r>
      <w:r w:rsidR="00A941A8">
        <w:t xml:space="preserve">did inhibit the tumor growth, compared with </w:t>
      </w:r>
      <w:proofErr w:type="spellStart"/>
      <w:r w:rsidR="00A941A8">
        <w:t>Doxil</w:t>
      </w:r>
      <w:proofErr w:type="spellEnd"/>
      <w:r w:rsidR="00A941A8">
        <w:t xml:space="preserve"> or SNO-HSA-dimer alone.</w:t>
      </w:r>
      <w:r w:rsidR="00750026">
        <w:t xml:space="preserve"> Furthermore</w:t>
      </w:r>
      <w:r w:rsidR="007428D8">
        <w:t xml:space="preserve">, </w:t>
      </w:r>
      <w:r w:rsidR="00750026">
        <w:t xml:space="preserve">the combination of </w:t>
      </w:r>
      <w:proofErr w:type="spellStart"/>
      <w:r w:rsidR="00750026">
        <w:t>Doxil</w:t>
      </w:r>
      <w:proofErr w:type="spellEnd"/>
      <w:r w:rsidR="00750026">
        <w:t xml:space="preserve"> and SNO-HSA</w:t>
      </w:r>
      <w:r w:rsidR="007428D8">
        <w:t>-</w:t>
      </w:r>
      <w:r w:rsidR="00750026">
        <w:t xml:space="preserve">dimer </w:t>
      </w:r>
      <w:r w:rsidR="00D3746F">
        <w:t xml:space="preserve">significantly reduce the number of lung metastasis. </w:t>
      </w:r>
      <w:r w:rsidR="006660FB">
        <w:t>Finally, possible side effects o</w:t>
      </w:r>
      <w:r w:rsidR="006660FB" w:rsidRPr="00485F17">
        <w:rPr>
          <w:b/>
        </w:rPr>
        <w:t xml:space="preserve">f </w:t>
      </w:r>
      <w:r w:rsidR="006660FB">
        <w:t xml:space="preserve">SNO-HSA-dimer administration were evaluated by measuring blood pressure, heart rate and </w:t>
      </w:r>
      <w:r w:rsidR="00A94CD3">
        <w:t xml:space="preserve">biochemical parameters. Fortunately, </w:t>
      </w:r>
      <w:r w:rsidR="00A601E7">
        <w:t xml:space="preserve">none of </w:t>
      </w:r>
      <w:r w:rsidR="00A94CD3">
        <w:t>the</w:t>
      </w:r>
      <w:r w:rsidR="00A601E7">
        <w:t xml:space="preserve">se </w:t>
      </w:r>
      <w:r w:rsidR="00A94CD3">
        <w:t>above parame</w:t>
      </w:r>
      <w:r w:rsidR="00A601E7">
        <w:t>ters</w:t>
      </w:r>
      <w:r w:rsidR="006660FB">
        <w:t xml:space="preserve"> were significantly affected by repeated administration </w:t>
      </w:r>
      <w:r w:rsidR="00A94CD3">
        <w:t xml:space="preserve">of SNO-HSA-dimer. Thus, SNO-HSA-dimer strategy is a safe and effective therapeutic approach for improving the antitumor effects of macromolecular drugs. </w:t>
      </w:r>
    </w:p>
    <w:p w:rsidR="00AE3E37" w:rsidRDefault="00A9710C">
      <w:pPr>
        <w:pStyle w:val="3"/>
        <w:spacing w:before="74"/>
      </w:pPr>
      <w:r>
        <w:rPr>
          <w:b w:val="0"/>
        </w:rPr>
        <w:br w:type="column"/>
      </w:r>
      <w:r>
        <w:rPr>
          <w:color w:val="BF5A14"/>
        </w:rPr>
        <w:t>Image</w:t>
      </w:r>
    </w:p>
    <w:p w:rsidR="00521E14" w:rsidRDefault="00521E14" w:rsidP="00521E14">
      <w:pPr>
        <w:pStyle w:val="a3"/>
        <w:spacing w:before="2"/>
        <w:jc w:val="center"/>
        <w:rPr>
          <w:rFonts w:ascii="Arial"/>
          <w:b/>
          <w:sz w:val="16"/>
        </w:rPr>
      </w:pPr>
      <w:r>
        <w:rPr>
          <w:rFonts w:ascii="Arial"/>
          <w:b/>
          <w:noProof/>
          <w:sz w:val="16"/>
          <w:lang w:eastAsia="ja-JP"/>
        </w:rPr>
        <w:drawing>
          <wp:inline distT="0" distB="0" distL="0" distR="0" wp14:anchorId="25E0A777" wp14:editId="36854D4E">
            <wp:extent cx="2076450" cy="1902676"/>
            <wp:effectExtent l="0" t="0" r="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376" cy="1937428"/>
                    </a:xfrm>
                    <a:prstGeom prst="rect">
                      <a:avLst/>
                    </a:prstGeom>
                    <a:noFill/>
                    <a:ln>
                      <a:noFill/>
                    </a:ln>
                  </pic:spPr>
                </pic:pic>
              </a:graphicData>
            </a:graphic>
          </wp:inline>
        </w:drawing>
      </w:r>
    </w:p>
    <w:p w:rsidR="00AE3E37" w:rsidRDefault="00AE3E37">
      <w:pPr>
        <w:pStyle w:val="a3"/>
        <w:spacing w:before="2"/>
        <w:rPr>
          <w:rFonts w:ascii="Arial"/>
          <w:b/>
          <w:sz w:val="16"/>
        </w:rPr>
      </w:pPr>
    </w:p>
    <w:p w:rsidR="00655D7B" w:rsidRDefault="00655D7B">
      <w:pPr>
        <w:pStyle w:val="a3"/>
        <w:spacing w:before="2"/>
        <w:rPr>
          <w:rFonts w:ascii="Arial"/>
          <w:b/>
          <w:sz w:val="16"/>
        </w:rPr>
      </w:pPr>
    </w:p>
    <w:p w:rsidR="00655D7B" w:rsidRPr="00717A0C" w:rsidRDefault="00655D7B">
      <w:pPr>
        <w:pStyle w:val="a3"/>
        <w:spacing w:before="2"/>
        <w:rPr>
          <w:rFonts w:eastAsiaTheme="minorEastAsia"/>
          <w:sz w:val="16"/>
          <w:lang w:eastAsia="ja-JP"/>
        </w:rPr>
      </w:pPr>
      <w:proofErr w:type="gramStart"/>
      <w:r>
        <w:rPr>
          <w:rFonts w:ascii="Arial" w:eastAsiaTheme="minorEastAsia" w:hint="eastAsia"/>
          <w:b/>
          <w:sz w:val="16"/>
          <w:lang w:eastAsia="ja-JP"/>
        </w:rPr>
        <w:t>Figure</w:t>
      </w:r>
      <w:r>
        <w:rPr>
          <w:rFonts w:ascii="Arial" w:eastAsiaTheme="minorEastAsia"/>
          <w:b/>
          <w:sz w:val="16"/>
          <w:lang w:eastAsia="ja-JP"/>
        </w:rPr>
        <w:t xml:space="preserve"> </w:t>
      </w:r>
      <w:r>
        <w:rPr>
          <w:rFonts w:ascii="Arial" w:eastAsiaTheme="minorEastAsia" w:hint="eastAsia"/>
          <w:b/>
          <w:sz w:val="16"/>
          <w:lang w:eastAsia="ja-JP"/>
        </w:rPr>
        <w:t xml:space="preserve"> 1</w:t>
      </w:r>
      <w:proofErr w:type="gramEnd"/>
      <w:r>
        <w:rPr>
          <w:rFonts w:ascii="Arial" w:eastAsiaTheme="minorEastAsia" w:hint="eastAsia"/>
          <w:b/>
          <w:sz w:val="16"/>
          <w:lang w:eastAsia="ja-JP"/>
        </w:rPr>
        <w:t xml:space="preserve">: </w:t>
      </w:r>
      <w:r>
        <w:rPr>
          <w:rFonts w:ascii="Arial" w:eastAsiaTheme="minorEastAsia"/>
          <w:b/>
          <w:sz w:val="16"/>
          <w:lang w:eastAsia="ja-JP"/>
        </w:rPr>
        <w:t xml:space="preserve"> </w:t>
      </w:r>
      <w:r w:rsidR="00BB24B1" w:rsidRPr="00717A0C">
        <w:rPr>
          <w:rFonts w:eastAsiaTheme="minorEastAsia"/>
          <w:sz w:val="16"/>
          <w:lang w:eastAsia="ja-JP"/>
        </w:rPr>
        <w:t xml:space="preserve"> </w:t>
      </w:r>
      <w:r w:rsidR="00BB24B1" w:rsidRPr="00717A0C">
        <w:rPr>
          <w:rFonts w:eastAsiaTheme="minorEastAsia"/>
          <w:lang w:eastAsia="ja-JP"/>
        </w:rPr>
        <w:t>A</w:t>
      </w:r>
      <w:r w:rsidRPr="00717A0C">
        <w:rPr>
          <w:rFonts w:eastAsiaTheme="minorEastAsia"/>
          <w:lang w:eastAsia="ja-JP"/>
        </w:rPr>
        <w:t xml:space="preserve"> </w:t>
      </w:r>
      <w:r w:rsidR="004D2D3F">
        <w:rPr>
          <w:rFonts w:eastAsiaTheme="minorEastAsia"/>
          <w:lang w:eastAsia="ja-JP"/>
        </w:rPr>
        <w:t xml:space="preserve">novel </w:t>
      </w:r>
      <w:r w:rsidRPr="00717A0C">
        <w:rPr>
          <w:rFonts w:eastAsiaTheme="minorEastAsia"/>
          <w:lang w:eastAsia="ja-JP"/>
        </w:rPr>
        <w:t>therapeutic</w:t>
      </w:r>
      <w:r w:rsidR="00BB24B1" w:rsidRPr="00717A0C">
        <w:rPr>
          <w:rFonts w:eastAsiaTheme="minorEastAsia"/>
          <w:lang w:eastAsia="ja-JP"/>
        </w:rPr>
        <w:t>s,</w:t>
      </w:r>
      <w:r w:rsidRPr="00717A0C">
        <w:rPr>
          <w:rFonts w:eastAsiaTheme="minorEastAsia"/>
          <w:lang w:eastAsia="ja-JP"/>
        </w:rPr>
        <w:t xml:space="preserve"> SNO-HSA-dimer</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C16F1" w:rsidP="005973B9">
      <w:pPr>
        <w:pStyle w:val="a5"/>
        <w:numPr>
          <w:ilvl w:val="0"/>
          <w:numId w:val="3"/>
        </w:numPr>
        <w:tabs>
          <w:tab w:val="left" w:pos="384"/>
        </w:tabs>
        <w:spacing w:before="103" w:line="216" w:lineRule="exact"/>
        <w:ind w:right="138" w:hanging="283"/>
        <w:rPr>
          <w:sz w:val="18"/>
        </w:rPr>
      </w:pPr>
      <w:r>
        <w:rPr>
          <w:sz w:val="18"/>
        </w:rPr>
        <w:t>Katayama N et al. (2008</w:t>
      </w:r>
      <w:proofErr w:type="gramStart"/>
      <w:r w:rsidR="005973B9">
        <w:rPr>
          <w:sz w:val="18"/>
        </w:rPr>
        <w:t xml:space="preserve">) </w:t>
      </w:r>
      <w:r>
        <w:rPr>
          <w:sz w:val="18"/>
        </w:rPr>
        <w:t xml:space="preserve"> Design</w:t>
      </w:r>
      <w:proofErr w:type="gramEnd"/>
      <w:r>
        <w:rPr>
          <w:sz w:val="18"/>
        </w:rPr>
        <w:t xml:space="preserve"> and evaluation of S-</w:t>
      </w:r>
      <w:proofErr w:type="spellStart"/>
      <w:r>
        <w:rPr>
          <w:sz w:val="18"/>
        </w:rPr>
        <w:t>nitrosylated</w:t>
      </w:r>
      <w:proofErr w:type="spellEnd"/>
      <w:r>
        <w:rPr>
          <w:sz w:val="18"/>
        </w:rPr>
        <w:t xml:space="preserve"> human serum albumin</w:t>
      </w:r>
      <w:r w:rsidR="007C2565">
        <w:rPr>
          <w:sz w:val="18"/>
        </w:rPr>
        <w:t xml:space="preserve"> as a novel anticancer drug. J </w:t>
      </w:r>
      <w:proofErr w:type="spellStart"/>
      <w:r w:rsidR="007C2565">
        <w:rPr>
          <w:sz w:val="18"/>
        </w:rPr>
        <w:t>Pharmacol</w:t>
      </w:r>
      <w:proofErr w:type="spellEnd"/>
      <w:r w:rsidR="007C2565">
        <w:rPr>
          <w:sz w:val="18"/>
        </w:rPr>
        <w:t xml:space="preserve"> </w:t>
      </w:r>
      <w:proofErr w:type="spellStart"/>
      <w:r w:rsidR="007C2565">
        <w:rPr>
          <w:sz w:val="18"/>
        </w:rPr>
        <w:t>Exp</w:t>
      </w:r>
      <w:proofErr w:type="spellEnd"/>
      <w:r w:rsidR="007C2565">
        <w:rPr>
          <w:sz w:val="18"/>
        </w:rPr>
        <w:t xml:space="preserve"> </w:t>
      </w:r>
      <w:proofErr w:type="spellStart"/>
      <w:r w:rsidR="007C2565">
        <w:rPr>
          <w:sz w:val="18"/>
        </w:rPr>
        <w:t>T</w:t>
      </w:r>
      <w:r>
        <w:rPr>
          <w:sz w:val="18"/>
        </w:rPr>
        <w:t>her</w:t>
      </w:r>
      <w:proofErr w:type="spellEnd"/>
      <w:r>
        <w:rPr>
          <w:sz w:val="18"/>
        </w:rPr>
        <w:t xml:space="preserve"> </w:t>
      </w:r>
      <w:r w:rsidR="007C2565">
        <w:rPr>
          <w:sz w:val="18"/>
        </w:rPr>
        <w:t>325:69-76</w:t>
      </w:r>
    </w:p>
    <w:p w:rsidR="005973B9" w:rsidRDefault="007C2565" w:rsidP="005973B9">
      <w:pPr>
        <w:pStyle w:val="a5"/>
        <w:numPr>
          <w:ilvl w:val="0"/>
          <w:numId w:val="3"/>
        </w:numPr>
        <w:tabs>
          <w:tab w:val="left" w:pos="384"/>
        </w:tabs>
        <w:spacing w:line="216" w:lineRule="exact"/>
        <w:ind w:right="137" w:hanging="283"/>
        <w:rPr>
          <w:sz w:val="18"/>
        </w:rPr>
      </w:pPr>
      <w:proofErr w:type="spellStart"/>
      <w:r>
        <w:rPr>
          <w:sz w:val="18"/>
        </w:rPr>
        <w:t>Ishima</w:t>
      </w:r>
      <w:proofErr w:type="spellEnd"/>
      <w:r>
        <w:rPr>
          <w:sz w:val="18"/>
        </w:rPr>
        <w:t xml:space="preserve"> Y et al. (2012) S-</w:t>
      </w:r>
      <w:proofErr w:type="spellStart"/>
      <w:r>
        <w:rPr>
          <w:sz w:val="18"/>
        </w:rPr>
        <w:t>Nitrosated</w:t>
      </w:r>
      <w:proofErr w:type="spellEnd"/>
      <w:r>
        <w:rPr>
          <w:sz w:val="18"/>
        </w:rPr>
        <w:t xml:space="preserve"> human </w:t>
      </w:r>
      <w:proofErr w:type="spellStart"/>
      <w:r>
        <w:rPr>
          <w:sz w:val="18"/>
        </w:rPr>
        <w:t>srum</w:t>
      </w:r>
      <w:proofErr w:type="spellEnd"/>
      <w:r>
        <w:rPr>
          <w:sz w:val="18"/>
        </w:rPr>
        <w:t xml:space="preserve"> albumin dimer is not only a novel anti-tumor drug but also a </w:t>
      </w:r>
      <w:proofErr w:type="spellStart"/>
      <w:r>
        <w:rPr>
          <w:sz w:val="18"/>
        </w:rPr>
        <w:t>potentiator</w:t>
      </w:r>
      <w:proofErr w:type="spellEnd"/>
      <w:r>
        <w:rPr>
          <w:sz w:val="18"/>
        </w:rPr>
        <w:t xml:space="preserve"> for anti-tumor drug </w:t>
      </w:r>
      <w:proofErr w:type="spellStart"/>
      <w:r>
        <w:rPr>
          <w:sz w:val="18"/>
        </w:rPr>
        <w:t>withaugmented</w:t>
      </w:r>
      <w:proofErr w:type="spellEnd"/>
      <w:r>
        <w:rPr>
          <w:sz w:val="18"/>
        </w:rPr>
        <w:t xml:space="preserve"> EPR effects. </w:t>
      </w:r>
      <w:proofErr w:type="spellStart"/>
      <w:r>
        <w:rPr>
          <w:sz w:val="18"/>
        </w:rPr>
        <w:t>Bioconjug</w:t>
      </w:r>
      <w:proofErr w:type="spellEnd"/>
      <w:r>
        <w:rPr>
          <w:sz w:val="18"/>
        </w:rPr>
        <w:t xml:space="preserve"> </w:t>
      </w:r>
      <w:proofErr w:type="spellStart"/>
      <w:r w:rsidR="00FA7DEC">
        <w:rPr>
          <w:sz w:val="18"/>
        </w:rPr>
        <w:t>Chem</w:t>
      </w:r>
      <w:proofErr w:type="spellEnd"/>
      <w:r w:rsidR="00FA7DEC">
        <w:rPr>
          <w:sz w:val="18"/>
        </w:rPr>
        <w:t xml:space="preserve"> 23:264-271</w:t>
      </w:r>
      <w:r w:rsidR="005973B9">
        <w:rPr>
          <w:sz w:val="18"/>
        </w:rPr>
        <w:t xml:space="preserve"> </w:t>
      </w:r>
    </w:p>
    <w:p w:rsidR="005973B9" w:rsidRDefault="00A045CA" w:rsidP="005973B9">
      <w:pPr>
        <w:pStyle w:val="a5"/>
        <w:numPr>
          <w:ilvl w:val="0"/>
          <w:numId w:val="3"/>
        </w:numPr>
        <w:tabs>
          <w:tab w:val="left" w:pos="384"/>
        </w:tabs>
        <w:spacing w:before="92" w:line="218" w:lineRule="exact"/>
        <w:ind w:hanging="283"/>
        <w:rPr>
          <w:sz w:val="18"/>
        </w:rPr>
      </w:pPr>
      <w:proofErr w:type="spellStart"/>
      <w:r>
        <w:rPr>
          <w:sz w:val="18"/>
        </w:rPr>
        <w:t>Ishima</w:t>
      </w:r>
      <w:proofErr w:type="spellEnd"/>
      <w:r>
        <w:rPr>
          <w:sz w:val="18"/>
        </w:rPr>
        <w:t xml:space="preserve"> Y et al. (2014) Tuning of poly-S-</w:t>
      </w:r>
      <w:proofErr w:type="spellStart"/>
      <w:r>
        <w:rPr>
          <w:sz w:val="18"/>
        </w:rPr>
        <w:t>nitrosated</w:t>
      </w:r>
      <w:proofErr w:type="spellEnd"/>
      <w:r>
        <w:rPr>
          <w:sz w:val="18"/>
        </w:rPr>
        <w:t xml:space="preserve"> human serum albumin as superior antitumor nanomedicine. </w:t>
      </w:r>
      <w:proofErr w:type="spellStart"/>
      <w:r>
        <w:rPr>
          <w:sz w:val="18"/>
        </w:rPr>
        <w:t>Phamace</w:t>
      </w:r>
      <w:r w:rsidR="000B6BC5">
        <w:rPr>
          <w:sz w:val="18"/>
        </w:rPr>
        <w:t>u</w:t>
      </w:r>
      <w:r>
        <w:rPr>
          <w:sz w:val="18"/>
        </w:rPr>
        <w:t>tic</w:t>
      </w:r>
      <w:proofErr w:type="spellEnd"/>
      <w:r>
        <w:rPr>
          <w:sz w:val="18"/>
        </w:rPr>
        <w:t xml:space="preserve"> Nanotech 103: 2184-2188 </w:t>
      </w:r>
    </w:p>
    <w:p w:rsidR="00AE3E37" w:rsidRPr="00485F17" w:rsidRDefault="005973B9" w:rsidP="006028EC">
      <w:pPr>
        <w:pStyle w:val="a3"/>
        <w:numPr>
          <w:ilvl w:val="0"/>
          <w:numId w:val="3"/>
        </w:numPr>
        <w:tabs>
          <w:tab w:val="left" w:pos="384"/>
        </w:tabs>
        <w:spacing w:before="85" w:line="216" w:lineRule="exact"/>
        <w:ind w:right="117"/>
        <w:jc w:val="both"/>
        <w:rPr>
          <w:rFonts w:eastAsiaTheme="minorEastAsia"/>
          <w:lang w:eastAsia="ja-JP"/>
        </w:rPr>
      </w:pPr>
      <w:r w:rsidRPr="00485F17">
        <w:rPr>
          <w:rFonts w:ascii="Calibri" w:hAnsi="Calibri"/>
        </w:rPr>
        <w:t xml:space="preserve"> </w:t>
      </w:r>
      <w:proofErr w:type="spellStart"/>
      <w:r w:rsidR="00A045CA" w:rsidRPr="00485F17">
        <w:rPr>
          <w:rFonts w:ascii="Calibri" w:hAnsi="Calibri"/>
        </w:rPr>
        <w:t>Ishima</w:t>
      </w:r>
      <w:proofErr w:type="spellEnd"/>
      <w:r w:rsidR="00A045CA" w:rsidRPr="00485F17">
        <w:rPr>
          <w:rFonts w:ascii="Calibri" w:hAnsi="Calibri"/>
        </w:rPr>
        <w:t xml:space="preserve"> Y et al. (2015) S-</w:t>
      </w:r>
      <w:proofErr w:type="spellStart"/>
      <w:r w:rsidR="00A045CA" w:rsidRPr="00485F17">
        <w:rPr>
          <w:rFonts w:ascii="Calibri" w:hAnsi="Calibri"/>
        </w:rPr>
        <w:t>nitrosated</w:t>
      </w:r>
      <w:proofErr w:type="spellEnd"/>
      <w:r w:rsidR="00A045CA" w:rsidRPr="00485F17">
        <w:rPr>
          <w:rFonts w:ascii="Calibri" w:hAnsi="Calibri"/>
        </w:rPr>
        <w:t xml:space="preserve"> human serum albumin </w:t>
      </w:r>
      <w:r w:rsidR="00027D3A" w:rsidRPr="00485F17">
        <w:rPr>
          <w:rFonts w:ascii="Calibri" w:hAnsi="Calibri"/>
        </w:rPr>
        <w:t xml:space="preserve">dimer as novel </w:t>
      </w:r>
      <w:proofErr w:type="spellStart"/>
      <w:r w:rsidR="00027D3A" w:rsidRPr="00485F17">
        <w:rPr>
          <w:rFonts w:ascii="Calibri" w:hAnsi="Calibri"/>
        </w:rPr>
        <w:t>nano</w:t>
      </w:r>
      <w:proofErr w:type="spellEnd"/>
      <w:r w:rsidR="00027D3A" w:rsidRPr="00485F17">
        <w:rPr>
          <w:rFonts w:ascii="Calibri" w:hAnsi="Calibri"/>
        </w:rPr>
        <w:t xml:space="preserve">-EPR enhancer applied to macromolecular anti-tumor drugs such as </w:t>
      </w:r>
      <w:proofErr w:type="spellStart"/>
      <w:r w:rsidR="00027D3A" w:rsidRPr="00485F17">
        <w:rPr>
          <w:rFonts w:ascii="Calibri" w:hAnsi="Calibri"/>
        </w:rPr>
        <w:t>micells</w:t>
      </w:r>
      <w:proofErr w:type="spellEnd"/>
      <w:r w:rsidR="00027D3A" w:rsidRPr="00485F17">
        <w:rPr>
          <w:rFonts w:ascii="Calibri" w:hAnsi="Calibri"/>
        </w:rPr>
        <w:t xml:space="preserve"> and liposomes. J Control Release 217:1-9</w:t>
      </w:r>
      <w:r w:rsidRPr="00485F17">
        <w:rPr>
          <w:rFonts w:ascii="Calibri" w:hAnsi="Calibri"/>
        </w:rPr>
        <w:t xml:space="preserve">   </w:t>
      </w:r>
      <w:r w:rsidR="00027D3A" w:rsidRPr="00485F17">
        <w:rPr>
          <w:rFonts w:eastAsiaTheme="minorEastAsia" w:hint="eastAsia"/>
          <w:lang w:eastAsia="ja-JP"/>
        </w:rPr>
        <w:t xml:space="preserve"> </w:t>
      </w:r>
    </w:p>
    <w:p w:rsidR="00027D3A" w:rsidRDefault="00027D3A" w:rsidP="004D2D3F">
      <w:pPr>
        <w:pStyle w:val="a5"/>
        <w:numPr>
          <w:ilvl w:val="0"/>
          <w:numId w:val="3"/>
        </w:numPr>
      </w:pPr>
      <w:r w:rsidRPr="004D2D3F">
        <w:rPr>
          <w:sz w:val="18"/>
          <w:szCs w:val="18"/>
        </w:rPr>
        <w:t>Otagiri M and Victor T G Chuang</w:t>
      </w:r>
      <w:r w:rsidR="004D2D3F">
        <w:rPr>
          <w:sz w:val="18"/>
          <w:szCs w:val="18"/>
        </w:rPr>
        <w:t xml:space="preserve"> (</w:t>
      </w:r>
      <w:proofErr w:type="spellStart"/>
      <w:r w:rsidR="004D2D3F">
        <w:rPr>
          <w:sz w:val="18"/>
          <w:szCs w:val="18"/>
        </w:rPr>
        <w:t>eds</w:t>
      </w:r>
      <w:proofErr w:type="spellEnd"/>
      <w:r w:rsidR="004D2D3F">
        <w:rPr>
          <w:sz w:val="18"/>
          <w:szCs w:val="18"/>
        </w:rPr>
        <w:t>)</w:t>
      </w:r>
      <w:r w:rsidRPr="004D2D3F">
        <w:rPr>
          <w:sz w:val="18"/>
          <w:szCs w:val="18"/>
        </w:rPr>
        <w:t xml:space="preserve"> (2016) Albumin in </w:t>
      </w:r>
      <w:proofErr w:type="gramStart"/>
      <w:r w:rsidRPr="004D2D3F">
        <w:rPr>
          <w:sz w:val="18"/>
          <w:szCs w:val="18"/>
        </w:rPr>
        <w:t xml:space="preserve">medicine </w:t>
      </w:r>
      <w:r>
        <w:t>:</w:t>
      </w:r>
      <w:proofErr w:type="gramEnd"/>
      <w:r w:rsidR="004D2D3F">
        <w:t xml:space="preserve"> </w:t>
      </w:r>
      <w:r w:rsidR="004D2D3F" w:rsidRPr="004D2D3F">
        <w:rPr>
          <w:sz w:val="18"/>
          <w:szCs w:val="18"/>
        </w:rPr>
        <w:t>pathological and clinical application</w:t>
      </w:r>
      <w:r w:rsidR="004D2D3F">
        <w:rPr>
          <w:sz w:val="18"/>
          <w:szCs w:val="18"/>
        </w:rPr>
        <w:t>.</w:t>
      </w:r>
      <w:r w:rsidR="00804F16">
        <w:rPr>
          <w:sz w:val="18"/>
          <w:szCs w:val="18"/>
        </w:rPr>
        <w:t xml:space="preserve"> </w:t>
      </w:r>
      <w:r w:rsidR="004D2D3F">
        <w:rPr>
          <w:sz w:val="18"/>
          <w:szCs w:val="18"/>
        </w:rPr>
        <w:t xml:space="preserve">Springer </w:t>
      </w:r>
    </w:p>
    <w:p w:rsidR="00AE3E37" w:rsidRDefault="00027D3A" w:rsidP="00027D3A">
      <w:pPr>
        <w:pStyle w:val="a5"/>
        <w:ind w:firstLine="0"/>
      </w:pPr>
      <w:r>
        <w:t xml:space="preserve">  </w:t>
      </w:r>
    </w:p>
    <w:p w:rsidR="005566EA" w:rsidRDefault="005566EA" w:rsidP="00027D3A">
      <w:pPr>
        <w:pStyle w:val="a5"/>
        <w:ind w:firstLine="0"/>
      </w:pPr>
    </w:p>
    <w:p w:rsidR="005566EA" w:rsidRPr="004D2D3F" w:rsidRDefault="005566EA" w:rsidP="00027D3A">
      <w:pPr>
        <w:pStyle w:val="a5"/>
        <w:ind w:firstLine="0"/>
        <w:rPr>
          <w:sz w:val="18"/>
          <w:szCs w:val="18"/>
        </w:rPr>
        <w:sectPr w:rsidR="005566EA" w:rsidRPr="004D2D3F" w:rsidSect="00027D3A">
          <w:type w:val="continuous"/>
          <w:pgSz w:w="11910" w:h="16840"/>
          <w:pgMar w:top="1741" w:right="601" w:bottom="839" w:left="618" w:header="720" w:footer="720" w:gutter="0"/>
          <w:cols w:num="2" w:space="720" w:equalWidth="0">
            <w:col w:w="5216" w:space="138"/>
            <w:col w:w="5337"/>
          </w:cols>
        </w:sectPr>
      </w:pPr>
    </w:p>
    <w:p w:rsidR="00AE3E37" w:rsidRDefault="000F6A13">
      <w:pPr>
        <w:pStyle w:val="a3"/>
        <w:spacing w:line="40" w:lineRule="exact"/>
        <w:ind w:left="2202"/>
        <w:rPr>
          <w:rFonts w:ascii="Calibri"/>
          <w:sz w:val="4"/>
        </w:rPr>
      </w:pPr>
      <w:r>
        <w:rPr>
          <w:noProof/>
          <w:sz w:val="24"/>
          <w:lang w:eastAsia="ja-JP"/>
        </w:rPr>
        <w:drawing>
          <wp:anchor distT="0" distB="0" distL="114300" distR="114300" simplePos="0" relativeHeight="251666432" behindDoc="1" locked="0" layoutInCell="1" allowOverlap="1" wp14:anchorId="06032AFE" wp14:editId="4294FF75">
            <wp:simplePos x="0" y="0"/>
            <wp:positionH relativeFrom="column">
              <wp:posOffset>444500</wp:posOffset>
            </wp:positionH>
            <wp:positionV relativeFrom="paragraph">
              <wp:posOffset>6985</wp:posOffset>
            </wp:positionV>
            <wp:extent cx="571500" cy="596900"/>
            <wp:effectExtent l="0" t="0" r="0" b="0"/>
            <wp:wrapTight wrapText="bothSides">
              <wp:wrapPolygon edited="0">
                <wp:start x="0" y="0"/>
                <wp:lineTo x="0" y="20681"/>
                <wp:lineTo x="20880" y="20681"/>
                <wp:lineTo x="20880" y="0"/>
                <wp:lineTo x="0" y="0"/>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1.jpg"/>
                    <pic:cNvPicPr/>
                  </pic:nvPicPr>
                  <pic:blipFill rotWithShape="1">
                    <a:blip r:embed="rId10" cstate="print">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rcRect l="22100" t="3750" r="8988" b="48048"/>
                    <a:stretch/>
                  </pic:blipFill>
                  <pic:spPr bwMode="auto">
                    <a:xfrm>
                      <a:off x="0" y="0"/>
                      <a:ext cx="571500" cy="596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ED9">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47C5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F6A13"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0F6A13" w:rsidRDefault="000F6A13" w:rsidP="00485F17">
      <w:pPr>
        <w:spacing w:before="41" w:line="154" w:lineRule="exact"/>
        <w:ind w:leftChars="100" w:left="220" w:right="231"/>
        <w:jc w:val="both"/>
        <w:rPr>
          <w:rFonts w:ascii="Arial"/>
          <w:sz w:val="14"/>
        </w:rPr>
      </w:pPr>
    </w:p>
    <w:p w:rsidR="000F6A13" w:rsidRDefault="000F6A13" w:rsidP="00485F17">
      <w:pPr>
        <w:spacing w:before="41" w:line="154" w:lineRule="exact"/>
        <w:ind w:leftChars="100" w:left="220" w:right="231"/>
        <w:jc w:val="both"/>
        <w:rPr>
          <w:rFonts w:ascii="Arial"/>
          <w:sz w:val="14"/>
        </w:rPr>
      </w:pPr>
    </w:p>
    <w:p w:rsidR="000F6A13" w:rsidRDefault="000F6A13" w:rsidP="00485F17">
      <w:pPr>
        <w:spacing w:before="41" w:line="154" w:lineRule="exact"/>
        <w:ind w:leftChars="100" w:left="220" w:right="231"/>
        <w:jc w:val="both"/>
        <w:rPr>
          <w:rFonts w:ascii="Arial"/>
          <w:sz w:val="14"/>
        </w:rPr>
      </w:pPr>
    </w:p>
    <w:p w:rsidR="00ED52B1" w:rsidRDefault="00ED52B1" w:rsidP="00485F17">
      <w:pPr>
        <w:spacing w:before="41" w:line="154" w:lineRule="exact"/>
        <w:ind w:leftChars="100" w:left="220" w:right="231"/>
        <w:jc w:val="both"/>
        <w:rPr>
          <w:rFonts w:ascii="Arial"/>
          <w:sz w:val="14"/>
        </w:rPr>
      </w:pPr>
      <w:r w:rsidRPr="00ED52B1">
        <w:rPr>
          <w:rFonts w:ascii="Arial"/>
          <w:sz w:val="14"/>
        </w:rPr>
        <w:t xml:space="preserve">Dr. Masaki Otagiri is currently a Professor and Dean of Faculty of Pharmaceutical Sciences, </w:t>
      </w:r>
      <w:proofErr w:type="spellStart"/>
      <w:r w:rsidRPr="00ED52B1">
        <w:rPr>
          <w:rFonts w:ascii="Arial"/>
          <w:sz w:val="14"/>
        </w:rPr>
        <w:t>Sojo</w:t>
      </w:r>
      <w:proofErr w:type="spellEnd"/>
      <w:r w:rsidRPr="00ED52B1">
        <w:rPr>
          <w:rFonts w:ascii="Arial"/>
          <w:sz w:val="14"/>
        </w:rPr>
        <w:t xml:space="preserve"> University. He graduated from Nagoya City University with a PhD degree in 1975</w:t>
      </w:r>
      <w:r w:rsidR="000B6BC5">
        <w:rPr>
          <w:rFonts w:ascii="Arial"/>
          <w:sz w:val="14"/>
        </w:rPr>
        <w:t>.</w:t>
      </w:r>
      <w:r w:rsidRPr="00ED52B1">
        <w:rPr>
          <w:rFonts w:ascii="Arial"/>
          <w:sz w:val="14"/>
        </w:rPr>
        <w:t xml:space="preserve"> In 1980, he joined the Pharmaceutics Department of Faculty of Pharmaceutical Sciences, Kumamoto University as an Associate Professor and then promoted to Professor of Biopharmaceutics Department, Kumamoto University in 1983. After his retirement from Kumamoto University in 2009, he was appointed as Professor of Faculty of Pharmaceutical Sciences and Director of DDS Research Institute, </w:t>
      </w:r>
      <w:proofErr w:type="spellStart"/>
      <w:r w:rsidRPr="00ED52B1">
        <w:rPr>
          <w:rFonts w:ascii="Arial"/>
          <w:sz w:val="14"/>
        </w:rPr>
        <w:t>Sojo</w:t>
      </w:r>
      <w:proofErr w:type="spellEnd"/>
      <w:r w:rsidRPr="00ED52B1">
        <w:rPr>
          <w:rFonts w:ascii="Arial"/>
          <w:sz w:val="14"/>
        </w:rPr>
        <w:t xml:space="preserve"> University, Kumamoto.  </w:t>
      </w:r>
    </w:p>
    <w:p w:rsidR="000F6A13" w:rsidRDefault="000F6A13" w:rsidP="000F6A13">
      <w:pPr>
        <w:spacing w:before="62"/>
        <w:ind w:left="4217" w:right="4235"/>
        <w:jc w:val="center"/>
        <w:rPr>
          <w:rFonts w:ascii="Arial"/>
          <w:sz w:val="14"/>
        </w:rPr>
      </w:pPr>
      <w:r>
        <w:rPr>
          <w:noProof/>
          <w:lang w:eastAsia="ja-JP"/>
        </w:rPr>
        <mc:AlternateContent>
          <mc:Choice Requires="wps">
            <w:drawing>
              <wp:anchor distT="0" distB="0" distL="0" distR="0" simplePos="0" relativeHeight="251659264" behindDoc="0" locked="0" layoutInCell="1" allowOverlap="1">
                <wp:simplePos x="0" y="0"/>
                <wp:positionH relativeFrom="page">
                  <wp:posOffset>2049145</wp:posOffset>
                </wp:positionH>
                <wp:positionV relativeFrom="paragraph">
                  <wp:posOffset>250825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3422F"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1.35pt,19.75pt" to="432.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" strokecolor="#004080" strokeweight=".5pt">
                <w10:wrap type="topAndBottom" anchorx="page"/>
              </v:line>
            </w:pict>
          </mc:Fallback>
        </mc:AlternateContent>
      </w:r>
      <w:r>
        <w:rPr>
          <w:rFonts w:ascii="Arial"/>
          <w:sz w:val="14"/>
        </w:rPr>
        <w:t xml:space="preserve">Email: </w:t>
      </w:r>
      <w:hyperlink r:id="rId12" w:history="1">
        <w:r w:rsidR="005566EA" w:rsidRPr="00066E26">
          <w:rPr>
            <w:rStyle w:val="ac"/>
            <w:rFonts w:ascii="Arial"/>
            <w:sz w:val="14"/>
          </w:rPr>
          <w:t>otagirim@ph.sojo-u.ac.jp</w:t>
        </w:r>
      </w:hyperlink>
    </w:p>
    <w:p w:rsidR="005566EA" w:rsidRDefault="005566EA" w:rsidP="000F6A13">
      <w:pPr>
        <w:spacing w:before="62"/>
        <w:ind w:left="4217" w:right="4235"/>
        <w:jc w:val="center"/>
        <w:rPr>
          <w:rFonts w:ascii="Arial"/>
          <w:sz w:val="14"/>
        </w:rPr>
      </w:pPr>
    </w:p>
    <w:p w:rsidR="00AE3E37" w:rsidRPr="000F6A13" w:rsidRDefault="000F6A13" w:rsidP="000F6A13">
      <w:pPr>
        <w:pStyle w:val="a3"/>
        <w:spacing w:before="2"/>
        <w:rPr>
          <w:rFonts w:ascii="Minion Pro"/>
          <w:b/>
          <w:sz w:val="20"/>
        </w:rPr>
        <w:sectPr w:rsidR="00AE3E37" w:rsidRPr="000F6A13">
          <w:type w:val="continuous"/>
          <w:pgSz w:w="11910" w:h="16840"/>
          <w:pgMar w:top="1740" w:right="600" w:bottom="840" w:left="620" w:header="720" w:footer="720" w:gutter="0"/>
          <w:cols w:space="720"/>
        </w:sectPr>
      </w:pPr>
      <w:r>
        <w:rPr>
          <w:rFonts w:ascii="Minion Pro"/>
          <w:b/>
          <w:sz w:val="20"/>
        </w:rPr>
        <w:t>Notes/Comments</w:t>
      </w:r>
    </w:p>
    <w:p w:rsidR="00AE3E37" w:rsidRDefault="00AE3E37" w:rsidP="000F6A13">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A3E" w:rsidRDefault="005A2A3E">
      <w:r>
        <w:separator/>
      </w:r>
    </w:p>
  </w:endnote>
  <w:endnote w:type="continuationSeparator" w:id="0">
    <w:p w:rsidR="005A2A3E" w:rsidRDefault="005A2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A3E" w:rsidRDefault="005A2A3E">
      <w:r>
        <w:separator/>
      </w:r>
    </w:p>
  </w:footnote>
  <w:footnote w:type="continuationSeparator" w:id="0">
    <w:p w:rsidR="005A2A3E" w:rsidRDefault="005A2A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09F"/>
    <w:rsid w:val="00027D3A"/>
    <w:rsid w:val="00086ACB"/>
    <w:rsid w:val="000B6BC5"/>
    <w:rsid w:val="000D2D9E"/>
    <w:rsid w:val="000E2911"/>
    <w:rsid w:val="000F6A13"/>
    <w:rsid w:val="001263DF"/>
    <w:rsid w:val="001F1C59"/>
    <w:rsid w:val="00264548"/>
    <w:rsid w:val="00292ED9"/>
    <w:rsid w:val="00294F50"/>
    <w:rsid w:val="002B50D7"/>
    <w:rsid w:val="002E1EB5"/>
    <w:rsid w:val="00322750"/>
    <w:rsid w:val="00337608"/>
    <w:rsid w:val="00346049"/>
    <w:rsid w:val="003866B7"/>
    <w:rsid w:val="00397429"/>
    <w:rsid w:val="003C0D6D"/>
    <w:rsid w:val="00404E5B"/>
    <w:rsid w:val="00414F7B"/>
    <w:rsid w:val="004355DC"/>
    <w:rsid w:val="00470C20"/>
    <w:rsid w:val="004749B4"/>
    <w:rsid w:val="00485F17"/>
    <w:rsid w:val="00494130"/>
    <w:rsid w:val="004D2D3F"/>
    <w:rsid w:val="004E21DE"/>
    <w:rsid w:val="004F3523"/>
    <w:rsid w:val="00521E14"/>
    <w:rsid w:val="00524027"/>
    <w:rsid w:val="00536502"/>
    <w:rsid w:val="005566EA"/>
    <w:rsid w:val="005973B9"/>
    <w:rsid w:val="005A22D1"/>
    <w:rsid w:val="005A2A3E"/>
    <w:rsid w:val="005B3A56"/>
    <w:rsid w:val="005B4D54"/>
    <w:rsid w:val="005C16F1"/>
    <w:rsid w:val="006060CE"/>
    <w:rsid w:val="0063497F"/>
    <w:rsid w:val="00655D7B"/>
    <w:rsid w:val="006660FB"/>
    <w:rsid w:val="006A20C0"/>
    <w:rsid w:val="00717A0C"/>
    <w:rsid w:val="007428D8"/>
    <w:rsid w:val="00750026"/>
    <w:rsid w:val="007C2565"/>
    <w:rsid w:val="007D7B48"/>
    <w:rsid w:val="008042A5"/>
    <w:rsid w:val="00804F16"/>
    <w:rsid w:val="008055F4"/>
    <w:rsid w:val="00873DF0"/>
    <w:rsid w:val="008756E6"/>
    <w:rsid w:val="008B0E0B"/>
    <w:rsid w:val="00951B42"/>
    <w:rsid w:val="009B2D44"/>
    <w:rsid w:val="00A045CA"/>
    <w:rsid w:val="00A07E82"/>
    <w:rsid w:val="00A21F0B"/>
    <w:rsid w:val="00A232DA"/>
    <w:rsid w:val="00A601E7"/>
    <w:rsid w:val="00A941A8"/>
    <w:rsid w:val="00A94CD3"/>
    <w:rsid w:val="00A95F73"/>
    <w:rsid w:val="00A9710C"/>
    <w:rsid w:val="00AE3E37"/>
    <w:rsid w:val="00AF2C2D"/>
    <w:rsid w:val="00B104F3"/>
    <w:rsid w:val="00B21A57"/>
    <w:rsid w:val="00BB24B1"/>
    <w:rsid w:val="00C33602"/>
    <w:rsid w:val="00C9149C"/>
    <w:rsid w:val="00CD6F55"/>
    <w:rsid w:val="00CF114D"/>
    <w:rsid w:val="00CF2227"/>
    <w:rsid w:val="00CF3712"/>
    <w:rsid w:val="00D3746F"/>
    <w:rsid w:val="00D87E48"/>
    <w:rsid w:val="00DC0465"/>
    <w:rsid w:val="00DE3104"/>
    <w:rsid w:val="00DF173E"/>
    <w:rsid w:val="00E734E5"/>
    <w:rsid w:val="00EC5C6C"/>
    <w:rsid w:val="00ED52B1"/>
    <w:rsid w:val="00F34157"/>
    <w:rsid w:val="00F72EEA"/>
    <w:rsid w:val="00F84CAE"/>
    <w:rsid w:val="00FA7DE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B19553C-5604-421A-9F16-881A227C9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tagirim@ph.sojo-u.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1</Pages>
  <Words>615</Words>
  <Characters>3506</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Otagiri</cp:lastModifiedBy>
  <cp:revision>23</cp:revision>
  <cp:lastPrinted>2016-12-13T01:45:00Z</cp:lastPrinted>
  <dcterms:created xsi:type="dcterms:W3CDTF">2016-09-01T08:55:00Z</dcterms:created>
  <dcterms:modified xsi:type="dcterms:W3CDTF">2016-12-13T01:58:00Z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