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6FE4" w:rsidRPr="00966FE4" w:rsidRDefault="00966FE4" w:rsidP="00966FE4">
      <w:pPr>
        <w:spacing w:line="480" w:lineRule="auto"/>
        <w:rPr>
          <w:rFonts w:asciiTheme="majorBidi" w:hAnsiTheme="majorBidi" w:cstheme="majorBidi"/>
          <w:b/>
          <w:bCs/>
          <w:color w:val="000000" w:themeColor="text1"/>
          <w:sz w:val="24"/>
          <w:szCs w:val="24"/>
        </w:rPr>
      </w:pPr>
      <w:r w:rsidRPr="00966FE4">
        <w:rPr>
          <w:rFonts w:asciiTheme="majorBidi" w:hAnsiTheme="majorBidi" w:cstheme="majorBidi"/>
          <w:b/>
          <w:bCs/>
          <w:color w:val="000000" w:themeColor="text1"/>
          <w:sz w:val="24"/>
          <w:szCs w:val="24"/>
        </w:rPr>
        <w:t>Potentially Inappropriate Medications Prescribing and Risk of Drug-Drug Interactions among Elderly Patients in Jordan.</w:t>
      </w:r>
    </w:p>
    <w:p w:rsidR="00966FE4" w:rsidRDefault="00966FE4" w:rsidP="00D47C95">
      <w:pPr>
        <w:spacing w:line="480" w:lineRule="auto"/>
        <w:rPr>
          <w:rFonts w:asciiTheme="majorBidi" w:hAnsiTheme="majorBidi" w:cstheme="majorBidi"/>
          <w:b/>
          <w:bCs/>
          <w:color w:val="000000" w:themeColor="text1"/>
          <w:sz w:val="22"/>
          <w:szCs w:val="22"/>
        </w:rPr>
      </w:pPr>
    </w:p>
    <w:p w:rsidR="00D47C95" w:rsidRPr="00966FE4" w:rsidRDefault="00D47C95" w:rsidP="00D47C95">
      <w:pPr>
        <w:spacing w:line="480" w:lineRule="auto"/>
        <w:rPr>
          <w:rFonts w:asciiTheme="majorBidi" w:hAnsiTheme="majorBidi" w:cstheme="majorBidi"/>
          <w:b/>
          <w:bCs/>
          <w:color w:val="000000" w:themeColor="text1"/>
          <w:sz w:val="22"/>
          <w:szCs w:val="22"/>
        </w:rPr>
      </w:pPr>
      <w:r w:rsidRPr="00966FE4">
        <w:rPr>
          <w:rFonts w:asciiTheme="majorBidi" w:hAnsiTheme="majorBidi" w:cstheme="majorBidi"/>
          <w:b/>
          <w:bCs/>
          <w:color w:val="000000" w:themeColor="text1"/>
          <w:sz w:val="22"/>
          <w:szCs w:val="22"/>
        </w:rPr>
        <w:t>Ahmad Al-Azayzih1</w:t>
      </w:r>
      <w:r w:rsidRPr="00966FE4">
        <w:rPr>
          <w:rFonts w:asciiTheme="majorBidi" w:hAnsiTheme="majorBidi" w:cstheme="majorBidi"/>
          <w:b/>
          <w:bCs/>
          <w:color w:val="000000" w:themeColor="text1"/>
          <w:sz w:val="22"/>
          <w:szCs w:val="22"/>
        </w:rPr>
        <w:t>, 2</w:t>
      </w:r>
      <w:r w:rsidRPr="00966FE4">
        <w:rPr>
          <w:rFonts w:asciiTheme="majorBidi" w:hAnsiTheme="majorBidi" w:cstheme="majorBidi"/>
          <w:b/>
          <w:bCs/>
          <w:color w:val="000000" w:themeColor="text1"/>
          <w:sz w:val="22"/>
          <w:szCs w:val="22"/>
        </w:rPr>
        <w:t>#, Rawan AlAmoori</w:t>
      </w:r>
      <w:r w:rsidRPr="00966FE4">
        <w:rPr>
          <w:rFonts w:asciiTheme="majorBidi" w:hAnsiTheme="majorBidi" w:cstheme="majorBidi"/>
          <w:b/>
          <w:bCs/>
          <w:color w:val="000000" w:themeColor="text1"/>
          <w:sz w:val="22"/>
          <w:szCs w:val="22"/>
        </w:rPr>
        <w:t>2</w:t>
      </w:r>
      <w:r w:rsidRPr="00966FE4">
        <w:rPr>
          <w:rFonts w:asciiTheme="majorBidi" w:hAnsiTheme="majorBidi" w:cstheme="majorBidi"/>
          <w:b/>
          <w:bCs/>
          <w:color w:val="000000" w:themeColor="text1"/>
          <w:sz w:val="22"/>
          <w:szCs w:val="22"/>
        </w:rPr>
        <w:t xml:space="preserve"> and Shoroq M. Altawalbeh</w:t>
      </w:r>
      <w:r w:rsidRPr="00966FE4">
        <w:rPr>
          <w:rFonts w:asciiTheme="majorBidi" w:hAnsiTheme="majorBidi" w:cstheme="majorBidi"/>
          <w:b/>
          <w:bCs/>
          <w:color w:val="000000" w:themeColor="text1"/>
          <w:sz w:val="22"/>
          <w:szCs w:val="22"/>
        </w:rPr>
        <w:t>2</w:t>
      </w:r>
    </w:p>
    <w:p w:rsidR="00D47C95" w:rsidRPr="00966FE4" w:rsidRDefault="00D47C95" w:rsidP="00D47C95">
      <w:pPr>
        <w:spacing w:line="480" w:lineRule="auto"/>
        <w:rPr>
          <w:rFonts w:asciiTheme="majorBidi" w:hAnsiTheme="majorBidi" w:cstheme="majorBidi"/>
          <w:color w:val="000000" w:themeColor="text1"/>
          <w:sz w:val="22"/>
          <w:szCs w:val="22"/>
        </w:rPr>
      </w:pPr>
      <w:r w:rsidRPr="00966FE4">
        <w:rPr>
          <w:rFonts w:asciiTheme="majorBidi" w:hAnsiTheme="majorBidi" w:cstheme="majorBidi"/>
          <w:color w:val="000000" w:themeColor="text1"/>
          <w:sz w:val="22"/>
          <w:szCs w:val="22"/>
        </w:rPr>
        <w:t>1</w:t>
      </w:r>
      <w:r w:rsidRPr="00966FE4">
        <w:rPr>
          <w:rFonts w:asciiTheme="majorBidi" w:hAnsiTheme="majorBidi" w:cstheme="majorBidi"/>
          <w:color w:val="000000" w:themeColor="text1"/>
          <w:sz w:val="22"/>
          <w:szCs w:val="22"/>
        </w:rPr>
        <w:t xml:space="preserve"> Department of Clinical Sciences, College of Pharmacy and Health Sciences, Ajman University, Ajman, UAE.</w:t>
      </w:r>
    </w:p>
    <w:p w:rsidR="00D47C95" w:rsidRPr="00966FE4" w:rsidRDefault="00D47C95" w:rsidP="00D47C95">
      <w:pPr>
        <w:spacing w:line="480" w:lineRule="auto"/>
        <w:rPr>
          <w:rFonts w:asciiTheme="majorBidi" w:hAnsiTheme="majorBidi" w:cstheme="majorBidi"/>
          <w:color w:val="000000" w:themeColor="text1"/>
          <w:sz w:val="22"/>
          <w:szCs w:val="22"/>
        </w:rPr>
      </w:pPr>
      <w:r w:rsidRPr="00966FE4">
        <w:rPr>
          <w:rFonts w:asciiTheme="majorBidi" w:hAnsiTheme="majorBidi" w:cstheme="majorBidi"/>
          <w:color w:val="000000" w:themeColor="text1"/>
          <w:sz w:val="22"/>
          <w:szCs w:val="22"/>
        </w:rPr>
        <w:t>2 Department</w:t>
      </w:r>
      <w:r w:rsidRPr="00966FE4">
        <w:rPr>
          <w:rFonts w:asciiTheme="majorBidi" w:hAnsiTheme="majorBidi" w:cstheme="majorBidi"/>
          <w:color w:val="000000" w:themeColor="text1"/>
          <w:sz w:val="22"/>
          <w:szCs w:val="22"/>
        </w:rPr>
        <w:t xml:space="preserve"> of Clinical Pharmacy, Faculty of Pharmacy, Jordan University of Science and Technology Irbid, 22110, Jordan</w:t>
      </w:r>
    </w:p>
    <w:p w:rsidR="00D47C95" w:rsidRDefault="00D47C95" w:rsidP="00D47C95">
      <w:pPr>
        <w:spacing w:line="480" w:lineRule="auto"/>
        <w:rPr>
          <w:rFonts w:asciiTheme="majorBidi" w:hAnsiTheme="majorBidi" w:cstheme="majorBidi"/>
          <w:b/>
          <w:bCs/>
          <w:color w:val="000000" w:themeColor="text1"/>
          <w:sz w:val="22"/>
          <w:szCs w:val="22"/>
        </w:rPr>
      </w:pPr>
    </w:p>
    <w:p w:rsidR="003377EB" w:rsidRPr="00327E56" w:rsidRDefault="003377EB" w:rsidP="003377EB">
      <w:pPr>
        <w:spacing w:line="480" w:lineRule="auto"/>
        <w:jc w:val="lowKashida"/>
        <w:rPr>
          <w:rFonts w:asciiTheme="majorBidi" w:hAnsiTheme="majorBidi" w:cstheme="majorBidi"/>
          <w:b/>
          <w:bCs/>
          <w:color w:val="000000" w:themeColor="text1"/>
          <w:sz w:val="22"/>
          <w:szCs w:val="22"/>
        </w:rPr>
      </w:pPr>
      <w:r w:rsidRPr="00327E56">
        <w:rPr>
          <w:rFonts w:asciiTheme="majorBidi" w:hAnsiTheme="majorBidi" w:cstheme="majorBidi"/>
          <w:b/>
          <w:bCs/>
          <w:color w:val="000000" w:themeColor="text1"/>
          <w:sz w:val="22"/>
          <w:szCs w:val="22"/>
        </w:rPr>
        <w:t>Abstract</w:t>
      </w:r>
    </w:p>
    <w:p w:rsidR="003377EB" w:rsidRPr="00327E56" w:rsidRDefault="003377EB" w:rsidP="003377EB">
      <w:pPr>
        <w:spacing w:line="480" w:lineRule="auto"/>
        <w:jc w:val="lowKashida"/>
        <w:rPr>
          <w:rFonts w:asciiTheme="majorBidi" w:hAnsiTheme="majorBidi" w:cstheme="majorBidi"/>
          <w:color w:val="000000" w:themeColor="text1"/>
          <w:sz w:val="22"/>
          <w:szCs w:val="22"/>
        </w:rPr>
      </w:pPr>
      <w:r w:rsidRPr="00327E56">
        <w:rPr>
          <w:rFonts w:asciiTheme="majorBidi" w:hAnsiTheme="majorBidi" w:cstheme="majorBidi"/>
          <w:b/>
          <w:bCs/>
          <w:color w:val="000000" w:themeColor="text1"/>
          <w:sz w:val="22"/>
          <w:szCs w:val="22"/>
        </w:rPr>
        <w:t>Background:</w:t>
      </w:r>
      <w:r w:rsidRPr="00327E56">
        <w:rPr>
          <w:rFonts w:asciiTheme="majorBidi" w:hAnsiTheme="majorBidi" w:cstheme="majorBidi"/>
          <w:color w:val="000000" w:themeColor="text1"/>
          <w:sz w:val="22"/>
          <w:szCs w:val="22"/>
        </w:rPr>
        <w:t xml:space="preserve"> Due to aging, along with its associated physiological changes, older adults are extremely vulnerable to be afflicted with multiple chronic conditions (</w:t>
      </w:r>
      <w:proofErr w:type="spellStart"/>
      <w:r w:rsidRPr="00327E56">
        <w:rPr>
          <w:rFonts w:asciiTheme="majorBidi" w:hAnsiTheme="majorBidi" w:cstheme="majorBidi"/>
          <w:color w:val="000000" w:themeColor="text1"/>
          <w:sz w:val="22"/>
          <w:szCs w:val="22"/>
        </w:rPr>
        <w:t>Multimorbidity</w:t>
      </w:r>
      <w:proofErr w:type="spellEnd"/>
      <w:r w:rsidRPr="00327E56">
        <w:rPr>
          <w:rFonts w:asciiTheme="majorBidi" w:hAnsiTheme="majorBidi" w:cstheme="majorBidi"/>
          <w:color w:val="000000" w:themeColor="text1"/>
          <w:sz w:val="22"/>
          <w:szCs w:val="22"/>
        </w:rPr>
        <w:t xml:space="preserve">).  Accordingly, prescribing a large number of drugs to older adults would be inevitable.  Resulted complex drug regimens can lead to prescribing of Potentially Inappropriate Medications (PIMs) with subsequent negative health and economic outcomes.  </w:t>
      </w:r>
    </w:p>
    <w:p w:rsidR="003377EB" w:rsidRPr="00327E56" w:rsidRDefault="003377EB" w:rsidP="003377EB">
      <w:pPr>
        <w:pStyle w:val="NormalWeb"/>
        <w:spacing w:before="0" w:beforeAutospacing="0" w:after="0" w:afterAutospacing="0" w:line="480" w:lineRule="auto"/>
        <w:jc w:val="lowKashida"/>
        <w:rPr>
          <w:rFonts w:asciiTheme="majorBidi" w:eastAsiaTheme="minorHAnsi" w:hAnsiTheme="majorBidi" w:cstheme="majorBidi"/>
          <w:bCs/>
          <w:color w:val="000000" w:themeColor="text1"/>
          <w:sz w:val="22"/>
          <w:szCs w:val="22"/>
        </w:rPr>
      </w:pPr>
      <w:r w:rsidRPr="00327E56">
        <w:rPr>
          <w:rFonts w:asciiTheme="majorBidi" w:hAnsiTheme="majorBidi" w:cstheme="majorBidi"/>
          <w:b/>
          <w:bCs/>
          <w:color w:val="000000" w:themeColor="text1"/>
          <w:sz w:val="22"/>
          <w:szCs w:val="22"/>
        </w:rPr>
        <w:t>Objective:</w:t>
      </w:r>
      <w:r w:rsidRPr="00327E56">
        <w:rPr>
          <w:rFonts w:asciiTheme="majorBidi" w:eastAsiaTheme="minorHAnsi" w:hAnsiTheme="majorBidi" w:cstheme="majorBidi"/>
          <w:bCs/>
          <w:color w:val="000000" w:themeColor="text1"/>
          <w:sz w:val="22"/>
          <w:szCs w:val="22"/>
        </w:rPr>
        <w:t xml:space="preserve"> The main objective of this study is to investigate the prevalence and predictors of PIMs prescribing among Jordanian elderly outpatients, using the last updated version of the American Geriatrics Society (AGS) Beers Criteria (2015 version).</w:t>
      </w:r>
    </w:p>
    <w:p w:rsidR="003377EB" w:rsidRPr="00327E56" w:rsidRDefault="003377EB" w:rsidP="003377EB">
      <w:pPr>
        <w:pStyle w:val="NormalWeb"/>
        <w:spacing w:before="0" w:beforeAutospacing="0" w:after="0" w:afterAutospacing="0" w:line="480" w:lineRule="auto"/>
        <w:jc w:val="lowKashida"/>
        <w:rPr>
          <w:rFonts w:asciiTheme="majorBidi" w:eastAsiaTheme="minorHAnsi" w:hAnsiTheme="majorBidi" w:cstheme="majorBidi"/>
          <w:bCs/>
          <w:color w:val="000000" w:themeColor="text1"/>
          <w:sz w:val="22"/>
          <w:szCs w:val="22"/>
        </w:rPr>
      </w:pPr>
      <w:r w:rsidRPr="00327E56">
        <w:rPr>
          <w:rFonts w:asciiTheme="majorBidi" w:eastAsiaTheme="minorHAnsi" w:hAnsiTheme="majorBidi" w:cstheme="majorBidi"/>
          <w:b/>
          <w:color w:val="000000" w:themeColor="text1"/>
          <w:sz w:val="22"/>
          <w:szCs w:val="22"/>
        </w:rPr>
        <w:t>Setting</w:t>
      </w:r>
      <w:r w:rsidRPr="00327E56">
        <w:rPr>
          <w:rFonts w:asciiTheme="majorBidi" w:eastAsiaTheme="minorHAnsi" w:hAnsiTheme="majorBidi" w:cstheme="majorBidi"/>
          <w:bCs/>
          <w:color w:val="000000" w:themeColor="text1"/>
          <w:sz w:val="22"/>
          <w:szCs w:val="22"/>
        </w:rPr>
        <w:t xml:space="preserve">: King Abdullah University Hospital, Al Ramtha, Jordan. </w:t>
      </w:r>
    </w:p>
    <w:p w:rsidR="003377EB" w:rsidRDefault="003377EB" w:rsidP="003377EB">
      <w:pPr>
        <w:spacing w:line="480" w:lineRule="auto"/>
        <w:jc w:val="lowKashida"/>
        <w:rPr>
          <w:rFonts w:asciiTheme="majorBidi" w:hAnsiTheme="majorBidi" w:cstheme="majorBidi"/>
          <w:color w:val="000000" w:themeColor="text1"/>
          <w:sz w:val="22"/>
          <w:szCs w:val="22"/>
        </w:rPr>
      </w:pPr>
      <w:r w:rsidRPr="00327E56">
        <w:rPr>
          <w:rFonts w:asciiTheme="majorBidi" w:hAnsiTheme="majorBidi" w:cstheme="majorBidi"/>
          <w:b/>
          <w:bCs/>
          <w:color w:val="000000" w:themeColor="text1"/>
          <w:sz w:val="22"/>
          <w:szCs w:val="22"/>
        </w:rPr>
        <w:t xml:space="preserve">Method: </w:t>
      </w:r>
      <w:r w:rsidRPr="00327E56">
        <w:rPr>
          <w:rFonts w:asciiTheme="majorBidi" w:hAnsiTheme="majorBidi" w:cstheme="majorBidi"/>
          <w:color w:val="000000" w:themeColor="text1"/>
          <w:sz w:val="22"/>
          <w:szCs w:val="22"/>
        </w:rPr>
        <w:t xml:space="preserve">A </w:t>
      </w:r>
      <w:proofErr w:type="spellStart"/>
      <w:r w:rsidRPr="00327E56">
        <w:rPr>
          <w:rFonts w:asciiTheme="majorBidi" w:hAnsiTheme="majorBidi" w:cstheme="majorBidi"/>
          <w:color w:val="000000" w:themeColor="text1"/>
          <w:sz w:val="22"/>
          <w:szCs w:val="22"/>
        </w:rPr>
        <w:t>Unicenter</w:t>
      </w:r>
      <w:proofErr w:type="spellEnd"/>
      <w:r w:rsidRPr="00327E56">
        <w:rPr>
          <w:rFonts w:asciiTheme="majorBidi" w:hAnsiTheme="majorBidi" w:cstheme="majorBidi"/>
          <w:color w:val="000000" w:themeColor="text1"/>
          <w:sz w:val="22"/>
          <w:szCs w:val="22"/>
        </w:rPr>
        <w:t xml:space="preserve">, retrospective cross-sectional study conducted over three </w:t>
      </w:r>
      <w:proofErr w:type="gramStart"/>
      <w:r w:rsidRPr="00327E56">
        <w:rPr>
          <w:rFonts w:asciiTheme="majorBidi" w:hAnsiTheme="majorBidi" w:cstheme="majorBidi"/>
          <w:color w:val="000000" w:themeColor="text1"/>
          <w:sz w:val="22"/>
          <w:szCs w:val="22"/>
        </w:rPr>
        <w:t>months</w:t>
      </w:r>
      <w:proofErr w:type="gramEnd"/>
      <w:r w:rsidRPr="00327E56">
        <w:rPr>
          <w:rFonts w:asciiTheme="majorBidi" w:hAnsiTheme="majorBidi" w:cstheme="majorBidi"/>
          <w:color w:val="000000" w:themeColor="text1"/>
          <w:sz w:val="22"/>
          <w:szCs w:val="22"/>
        </w:rPr>
        <w:t xml:space="preserve"> period from beginning of October to</w:t>
      </w:r>
      <w:r>
        <w:rPr>
          <w:rFonts w:asciiTheme="majorBidi" w:hAnsiTheme="majorBidi" w:cstheme="majorBidi"/>
          <w:color w:val="000000" w:themeColor="text1"/>
          <w:sz w:val="22"/>
          <w:szCs w:val="22"/>
        </w:rPr>
        <w:t xml:space="preserve"> the</w:t>
      </w:r>
      <w:r w:rsidRPr="00327E56">
        <w:rPr>
          <w:rFonts w:asciiTheme="majorBidi" w:hAnsiTheme="majorBidi" w:cstheme="majorBidi"/>
          <w:color w:val="000000" w:themeColor="text1"/>
          <w:sz w:val="22"/>
          <w:szCs w:val="22"/>
        </w:rPr>
        <w:t xml:space="preserve"> end</w:t>
      </w:r>
      <w:r>
        <w:rPr>
          <w:rFonts w:asciiTheme="majorBidi" w:hAnsiTheme="majorBidi" w:cstheme="majorBidi"/>
          <w:color w:val="000000" w:themeColor="text1"/>
          <w:sz w:val="22"/>
          <w:szCs w:val="22"/>
        </w:rPr>
        <w:t xml:space="preserve"> of</w:t>
      </w:r>
      <w:r w:rsidRPr="00327E56">
        <w:rPr>
          <w:rFonts w:asciiTheme="majorBidi" w:hAnsiTheme="majorBidi" w:cstheme="majorBidi"/>
          <w:color w:val="000000" w:themeColor="text1"/>
          <w:sz w:val="22"/>
          <w:szCs w:val="22"/>
        </w:rPr>
        <w:t xml:space="preserve"> December, 2016.  Our study included patients aged 65 years or above who visited the outpatient clinics at King Abdullah University hospital (KAUH) and were prescribed at least one oral medication during the study period.  PIMs were identified for these patients and further classified according to the 2015 AGS Beers Criteria.</w:t>
      </w:r>
    </w:p>
    <w:p w:rsidR="003D6F6A" w:rsidRPr="00327E56" w:rsidRDefault="003D6F6A" w:rsidP="003D6F6A">
      <w:pPr>
        <w:spacing w:line="480" w:lineRule="auto"/>
        <w:jc w:val="lowKashida"/>
        <w:rPr>
          <w:rFonts w:asciiTheme="majorBidi" w:hAnsiTheme="majorBidi" w:cstheme="majorBidi"/>
          <w:color w:val="000000" w:themeColor="text1"/>
          <w:sz w:val="22"/>
          <w:szCs w:val="22"/>
          <w:rtl/>
        </w:rPr>
      </w:pPr>
      <w:r w:rsidRPr="00327E56">
        <w:rPr>
          <w:rFonts w:asciiTheme="majorBidi" w:hAnsiTheme="majorBidi" w:cstheme="majorBidi"/>
          <w:b/>
          <w:bCs/>
          <w:color w:val="000000" w:themeColor="text1"/>
          <w:sz w:val="22"/>
          <w:szCs w:val="22"/>
        </w:rPr>
        <w:t>Main Outcome Measure</w:t>
      </w:r>
      <w:r w:rsidRPr="00327E56">
        <w:rPr>
          <w:rFonts w:asciiTheme="majorBidi" w:hAnsiTheme="majorBidi" w:cstheme="majorBidi"/>
          <w:color w:val="000000" w:themeColor="text1"/>
          <w:sz w:val="22"/>
          <w:szCs w:val="22"/>
        </w:rPr>
        <w:t xml:space="preserve">: The prevalence of PIMs prescribed among elderly outpatients in Jordan. </w:t>
      </w:r>
    </w:p>
    <w:p w:rsidR="003377EB" w:rsidRPr="00327E56" w:rsidRDefault="003377EB" w:rsidP="003377EB">
      <w:pPr>
        <w:spacing w:line="480" w:lineRule="auto"/>
        <w:jc w:val="lowKashida"/>
        <w:rPr>
          <w:rFonts w:asciiTheme="majorBidi" w:hAnsiTheme="majorBidi" w:cstheme="majorBidi"/>
          <w:color w:val="000000" w:themeColor="text1"/>
          <w:sz w:val="22"/>
          <w:szCs w:val="22"/>
        </w:rPr>
      </w:pPr>
      <w:r w:rsidRPr="00327E56">
        <w:rPr>
          <w:rFonts w:asciiTheme="majorBidi" w:hAnsiTheme="majorBidi" w:cstheme="majorBidi"/>
          <w:b/>
          <w:bCs/>
          <w:color w:val="000000" w:themeColor="text1"/>
          <w:sz w:val="22"/>
          <w:szCs w:val="22"/>
        </w:rPr>
        <w:lastRenderedPageBreak/>
        <w:t>Results:</w:t>
      </w:r>
      <w:r w:rsidRPr="00327E56">
        <w:rPr>
          <w:rFonts w:asciiTheme="majorBidi" w:hAnsiTheme="majorBidi" w:cstheme="majorBidi"/>
          <w:color w:val="000000" w:themeColor="text1"/>
          <w:sz w:val="22"/>
          <w:szCs w:val="22"/>
        </w:rPr>
        <w:t xml:space="preserve"> A total of 4622 eligible older adults were evaluated in this study, of whom 62.5% (n=2891) were found to have at least one PIM prescribed during the three months study period.  69% of identified PIMs were medications to be used with caution in elderly, 22% were medications to avoid in many or most older adults, 6.3% were medications to be avoided </w:t>
      </w:r>
      <w:r w:rsidR="00966FE4" w:rsidRPr="00327E56">
        <w:rPr>
          <w:rFonts w:asciiTheme="majorBidi" w:hAnsiTheme="majorBidi" w:cstheme="majorBidi"/>
          <w:color w:val="000000" w:themeColor="text1"/>
          <w:sz w:val="22"/>
          <w:szCs w:val="22"/>
        </w:rPr>
        <w:t>or have</w:t>
      </w:r>
      <w:r w:rsidRPr="00327E56">
        <w:rPr>
          <w:rFonts w:asciiTheme="majorBidi" w:hAnsiTheme="majorBidi" w:cstheme="majorBidi"/>
          <w:color w:val="000000" w:themeColor="text1"/>
          <w:sz w:val="22"/>
          <w:szCs w:val="22"/>
        </w:rPr>
        <w:t xml:space="preserve"> their dosage adjusted based on kidney function in older adults, 2.04% medications </w:t>
      </w:r>
      <w:r w:rsidR="00966FE4" w:rsidRPr="00327E56">
        <w:rPr>
          <w:rFonts w:asciiTheme="majorBidi" w:hAnsiTheme="majorBidi" w:cstheme="majorBidi"/>
          <w:color w:val="000000" w:themeColor="text1"/>
          <w:sz w:val="22"/>
          <w:szCs w:val="22"/>
        </w:rPr>
        <w:t xml:space="preserve">were </w:t>
      </w:r>
      <w:bookmarkStart w:id="0" w:name="_GoBack"/>
      <w:bookmarkEnd w:id="0"/>
      <w:r w:rsidR="00966FE4" w:rsidRPr="00327E56">
        <w:rPr>
          <w:rFonts w:asciiTheme="majorBidi" w:hAnsiTheme="majorBidi" w:cstheme="majorBidi"/>
          <w:color w:val="000000" w:themeColor="text1"/>
          <w:sz w:val="22"/>
          <w:szCs w:val="22"/>
        </w:rPr>
        <w:t>to avoid</w:t>
      </w:r>
      <w:r w:rsidRPr="00327E56">
        <w:rPr>
          <w:rFonts w:asciiTheme="majorBidi" w:hAnsiTheme="majorBidi" w:cstheme="majorBidi"/>
          <w:color w:val="000000" w:themeColor="text1"/>
          <w:sz w:val="22"/>
          <w:szCs w:val="22"/>
        </w:rPr>
        <w:t xml:space="preserve"> in older adults with specific diseases/syndromes, and 1.6% were potentially clinically important non-anti-infective drug-drug interactions to be avoided in older adults.  Female gender and polypharmacy were found to be significant predictors of PIMs use among elderly.  </w:t>
      </w:r>
    </w:p>
    <w:p w:rsidR="003377EB" w:rsidRPr="00327E56" w:rsidRDefault="003377EB" w:rsidP="003377EB">
      <w:pPr>
        <w:spacing w:line="480" w:lineRule="auto"/>
        <w:jc w:val="lowKashida"/>
        <w:rPr>
          <w:rFonts w:asciiTheme="majorBidi" w:hAnsiTheme="majorBidi" w:cstheme="majorBidi"/>
          <w:color w:val="000000" w:themeColor="text1"/>
          <w:sz w:val="22"/>
          <w:szCs w:val="22"/>
        </w:rPr>
      </w:pPr>
      <w:r w:rsidRPr="00327E56">
        <w:rPr>
          <w:rFonts w:asciiTheme="majorBidi" w:hAnsiTheme="majorBidi" w:cstheme="majorBidi"/>
          <w:b/>
          <w:bCs/>
          <w:color w:val="000000" w:themeColor="text1"/>
          <w:sz w:val="22"/>
          <w:szCs w:val="22"/>
        </w:rPr>
        <w:t>Conclusion:</w:t>
      </w:r>
      <w:r w:rsidRPr="00327E56">
        <w:rPr>
          <w:rFonts w:asciiTheme="majorBidi" w:hAnsiTheme="majorBidi" w:cstheme="majorBidi"/>
          <w:color w:val="000000" w:themeColor="text1"/>
          <w:sz w:val="22"/>
          <w:szCs w:val="22"/>
        </w:rPr>
        <w:t xml:space="preserve"> Potentially Inappropriate Medication prescribing is common among Jordanian elderly outpatients.  Female gender and polypharmacy are associated with more PIMs prescribing and so need further attention.</w:t>
      </w:r>
    </w:p>
    <w:p w:rsidR="00764EC0" w:rsidRDefault="00764EC0" w:rsidP="00764EC0">
      <w:pPr>
        <w:spacing w:after="200" w:line="480" w:lineRule="auto"/>
        <w:rPr>
          <w:rFonts w:asciiTheme="majorBidi" w:hAnsiTheme="majorBidi" w:cstheme="majorBidi"/>
          <w:color w:val="000000" w:themeColor="text1"/>
        </w:rPr>
      </w:pPr>
    </w:p>
    <w:p w:rsidR="00764EC0" w:rsidRDefault="00764EC0" w:rsidP="00764EC0">
      <w:pPr>
        <w:spacing w:after="200" w:line="480" w:lineRule="auto"/>
        <w:rPr>
          <w:rFonts w:asciiTheme="majorBidi" w:hAnsiTheme="majorBidi" w:cstheme="majorBidi"/>
          <w:color w:val="000000" w:themeColor="text1"/>
        </w:rPr>
      </w:pPr>
    </w:p>
    <w:p w:rsidR="00764EC0" w:rsidRDefault="00764EC0" w:rsidP="00764EC0">
      <w:pPr>
        <w:spacing w:after="200" w:line="480" w:lineRule="auto"/>
        <w:rPr>
          <w:rFonts w:asciiTheme="majorBidi" w:hAnsiTheme="majorBidi" w:cstheme="majorBidi"/>
          <w:color w:val="000000" w:themeColor="text1"/>
        </w:rPr>
      </w:pPr>
    </w:p>
    <w:p w:rsidR="00764EC0" w:rsidRPr="00764EC0" w:rsidRDefault="00764EC0" w:rsidP="00764EC0">
      <w:pPr>
        <w:spacing w:after="200" w:line="480" w:lineRule="auto"/>
        <w:rPr>
          <w:rFonts w:asciiTheme="majorBidi" w:hAnsiTheme="majorBidi" w:cstheme="majorBidi"/>
          <w:color w:val="000000" w:themeColor="text1"/>
        </w:rPr>
      </w:pPr>
    </w:p>
    <w:p w:rsidR="003161FC" w:rsidRDefault="00966FE4"/>
    <w:sectPr w:rsidR="003161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079A6"/>
    <w:multiLevelType w:val="hybridMultilevel"/>
    <w:tmpl w:val="40F4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7EB"/>
    <w:rsid w:val="003377EB"/>
    <w:rsid w:val="003D6F6A"/>
    <w:rsid w:val="00764EC0"/>
    <w:rsid w:val="008800DD"/>
    <w:rsid w:val="00951421"/>
    <w:rsid w:val="00966FE4"/>
    <w:rsid w:val="00D47C95"/>
    <w:rsid w:val="00EA21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90149"/>
  <w15:chartTrackingRefBased/>
  <w15:docId w15:val="{88FEA4CE-3081-486B-B6A1-020E1F724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77EB"/>
    <w:pPr>
      <w:spacing w:after="0" w:line="240" w:lineRule="auto"/>
    </w:pPr>
    <w:rPr>
      <w:rFonts w:ascii="Times New Roma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77EB"/>
    <w:pPr>
      <w:spacing w:before="100" w:beforeAutospacing="1" w:after="100" w:afterAutospacing="1"/>
    </w:pPr>
    <w:rPr>
      <w:rFonts w:eastAsia="Times New Roman" w:cs="Times New Roman"/>
    </w:rPr>
  </w:style>
  <w:style w:type="paragraph" w:styleId="ListParagraph">
    <w:name w:val="List Paragraph"/>
    <w:basedOn w:val="Normal"/>
    <w:uiPriority w:val="34"/>
    <w:qFormat/>
    <w:rsid w:val="003377EB"/>
    <w:pPr>
      <w:spacing w:after="160" w:line="259" w:lineRule="auto"/>
      <w:ind w:left="720"/>
      <w:contextualSpacing/>
    </w:pPr>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398</Words>
  <Characters>2272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Ahmad AlAzyzih</dc:creator>
  <cp:keywords/>
  <dc:description/>
  <cp:lastModifiedBy>Dr. Ahmad AlAzyzih</cp:lastModifiedBy>
  <cp:revision>3</cp:revision>
  <dcterms:created xsi:type="dcterms:W3CDTF">2019-03-01T16:01:00Z</dcterms:created>
  <dcterms:modified xsi:type="dcterms:W3CDTF">2019-03-01T16:05:00Z</dcterms:modified>
</cp:coreProperties>
</file>