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6C49A5">
        <w:rPr>
          <w:noProof/>
          <w:sz w:val="22"/>
          <w:szCs w:val="22"/>
          <w:lang w:val="en-IN" w:eastAsia="en-IN"/>
        </w:rPr>
        <w:drawing>
          <wp:inline distT="0" distB="0" distL="0" distR="0">
            <wp:extent cx="1556680" cy="1378520"/>
            <wp:effectExtent l="95250" t="95250" r="100670" b="88330"/>
            <wp:docPr id="5" name="Picture 2" descr="E:\PHOT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6" name="Picture 2" descr="E:\PHOTO.jpg"/>
                    <pic:cNvPicPr>
                      <a:picLocks noChangeAspect="1" noChangeArrowheads="1"/>
                    </pic:cNvPicPr>
                  </pic:nvPicPr>
                  <pic:blipFill>
                    <a:blip r:embed="rId8"/>
                    <a:srcRect/>
                    <a:stretch>
                      <a:fillRect/>
                    </a:stretch>
                  </pic:blipFill>
                  <pic:spPr bwMode="auto">
                    <a:xfrm>
                      <a:off x="0" y="0"/>
                      <a:ext cx="1556680" cy="137852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C3BCD" w:rsidRPr="007F0037" w:rsidRDefault="00AC3BCD" w:rsidP="00FD4F24">
      <w:pPr>
        <w:spacing w:line="215" w:lineRule="auto"/>
        <w:ind w:left="100" w:right="100"/>
        <w:jc w:val="center"/>
        <w:rPr>
          <w:rFonts w:eastAsia="MS PGothic" w:hAnsi="Arial"/>
          <w:b/>
          <w:color w:val="000000"/>
        </w:rPr>
      </w:pPr>
      <w:r>
        <w:rPr>
          <w:rFonts w:eastAsia="MS PGothic"/>
          <w:b/>
          <w:color w:val="000000"/>
          <w:sz w:val="28"/>
          <w:szCs w:val="28"/>
        </w:rPr>
        <w:t xml:space="preserve">Title: </w:t>
      </w:r>
      <w:r w:rsidR="00FD4F24" w:rsidRPr="00FD4F24">
        <w:rPr>
          <w:rFonts w:eastAsia="MS PGothic"/>
          <w:b/>
          <w:sz w:val="22"/>
          <w:szCs w:val="22"/>
        </w:rPr>
        <w:t xml:space="preserve">Interpretation And </w:t>
      </w:r>
      <w:r w:rsidR="00FD4F24" w:rsidRPr="00FD4F24">
        <w:rPr>
          <w:b/>
          <w:sz w:val="22"/>
          <w:szCs w:val="22"/>
        </w:rPr>
        <w:t xml:space="preserve">Diagnosis of Chronic Lymphoproliferative Disorders by Flow Cytometry Using Four-Color </w:t>
      </w:r>
      <w:r w:rsidR="00FD4F24" w:rsidRPr="00FD4F24">
        <w:rPr>
          <w:b/>
        </w:rPr>
        <w:t>Combinations for Immunophenotyping</w:t>
      </w:r>
      <w:r>
        <w:rPr>
          <w:b/>
          <w:sz w:val="28"/>
          <w:szCs w:val="28"/>
        </w:rPr>
        <w:t xml:space="preserve">                                            </w:t>
      </w:r>
      <w:r w:rsidRPr="007F0037">
        <w:rPr>
          <w:rFonts w:eastAsia="MS PGothic" w:hAnsi="Arial"/>
          <w:b/>
          <w:color w:val="000000"/>
        </w:rPr>
        <w:t xml:space="preserve">Name: </w:t>
      </w:r>
      <w:r w:rsidR="00FD4F24" w:rsidRPr="007F0037">
        <w:rPr>
          <w:rFonts w:eastAsia="MS PGothic" w:hAnsi="Arial"/>
          <w:b/>
          <w:color w:val="000000"/>
        </w:rPr>
        <w:t>DR. SOMIL SINGHAL</w:t>
      </w:r>
    </w:p>
    <w:p w:rsidR="00FD4F24" w:rsidRPr="007F0037" w:rsidRDefault="00FD4F24" w:rsidP="00FD4F24">
      <w:pPr>
        <w:spacing w:line="215" w:lineRule="auto"/>
        <w:ind w:left="100" w:right="100"/>
        <w:jc w:val="center"/>
        <w:rPr>
          <w:b/>
          <w:color w:val="231F20"/>
          <w:sz w:val="22"/>
          <w:szCs w:val="22"/>
        </w:rPr>
      </w:pPr>
      <w:r w:rsidRPr="007F0037">
        <w:rPr>
          <w:rFonts w:eastAsia="MS PGothic"/>
          <w:b/>
          <w:color w:val="000000"/>
          <w:sz w:val="28"/>
          <w:szCs w:val="28"/>
        </w:rPr>
        <w:t>Consultant Pathologist</w:t>
      </w:r>
    </w:p>
    <w:p w:rsidR="00AC3BCD" w:rsidRPr="007F0037" w:rsidRDefault="00FD4F24" w:rsidP="00FD4F24">
      <w:pPr>
        <w:jc w:val="center"/>
        <w:rPr>
          <w:rFonts w:eastAsia="MS PGothic" w:hAnsi="Arial"/>
          <w:b/>
          <w:color w:val="000000"/>
        </w:rPr>
      </w:pPr>
      <w:r w:rsidRPr="007F0037">
        <w:rPr>
          <w:rFonts w:eastAsia="MS PGothic" w:hAnsi="Arial"/>
          <w:b/>
          <w:color w:val="000000"/>
        </w:rPr>
        <w:t>Kriti Pathology (A Complete Diagnostic Solution)</w:t>
      </w:r>
    </w:p>
    <w:p w:rsidR="00FD4F24" w:rsidRPr="007F0037" w:rsidRDefault="00FD4F24" w:rsidP="00FD4F24">
      <w:pPr>
        <w:jc w:val="center"/>
        <w:rPr>
          <w:rFonts w:eastAsia="MS PGothic" w:hAnsi="Arial"/>
          <w:b/>
          <w:color w:val="000000"/>
        </w:rPr>
      </w:pPr>
      <w:r w:rsidRPr="007F0037">
        <w:rPr>
          <w:rFonts w:eastAsia="MS PGothic" w:hAnsi="Arial"/>
          <w:b/>
          <w:color w:val="000000"/>
        </w:rPr>
        <w:t>A Unit Of Kriti Scanning Centre (P) Ltd.</w:t>
      </w:r>
    </w:p>
    <w:p w:rsidR="00FD4F24" w:rsidRDefault="00FD4F24" w:rsidP="00FD4F24">
      <w:pPr>
        <w:jc w:val="center"/>
        <w:rPr>
          <w:rFonts w:eastAsia="MS PGothic" w:hAnsi="Arial"/>
          <w:color w:val="000000"/>
        </w:rPr>
      </w:pPr>
      <w:r w:rsidRPr="007F0037">
        <w:rPr>
          <w:rFonts w:eastAsia="MS PGothic" w:hAnsi="Arial"/>
          <w:b/>
          <w:color w:val="000000"/>
        </w:rPr>
        <w:t>NABL Accredited : MC-3218</w:t>
      </w:r>
    </w:p>
    <w:p w:rsidR="00AC3BCD" w:rsidRDefault="00AC3BCD" w:rsidP="00AC3BCD">
      <w:pPr>
        <w:jc w:val="center"/>
        <w:rPr>
          <w:rFonts w:eastAsia="Batang"/>
          <w:color w:val="0000FF"/>
          <w:sz w:val="36"/>
          <w:szCs w:val="36"/>
        </w:rPr>
      </w:pPr>
    </w:p>
    <w:p w:rsidR="00AD2B29" w:rsidRPr="00AD2B29" w:rsidRDefault="00AD2B29" w:rsidP="00AD2B29">
      <w:pPr>
        <w:spacing w:line="269" w:lineRule="auto"/>
        <w:ind w:left="720" w:right="720" w:firstLine="191"/>
        <w:jc w:val="both"/>
        <w:rPr>
          <w:rFonts w:eastAsia="Arial"/>
          <w:b/>
          <w:sz w:val="22"/>
          <w:szCs w:val="22"/>
        </w:rPr>
      </w:pPr>
      <w:r w:rsidRPr="00AD2B29">
        <w:rPr>
          <w:rFonts w:eastAsia="Arial"/>
          <w:b/>
          <w:sz w:val="22"/>
          <w:szCs w:val="22"/>
        </w:rPr>
        <w:t xml:space="preserve">Background: Multiparametric flow cytometry (MFC) is a powerful tool </w:t>
      </w:r>
      <w:r>
        <w:rPr>
          <w:rFonts w:eastAsia="Arial"/>
          <w:b/>
          <w:sz w:val="22"/>
          <w:szCs w:val="22"/>
        </w:rPr>
        <w:t>for the diagnosis of hematologi</w:t>
      </w:r>
      <w:r w:rsidRPr="00AD2B29">
        <w:rPr>
          <w:rFonts w:eastAsia="Arial"/>
          <w:b/>
          <w:sz w:val="22"/>
          <w:szCs w:val="22"/>
        </w:rPr>
        <w:t xml:space="preserve">cal malignancies and has been useful for the classification of chronic lymphoproliferative disorders (CLPD) according to the WHO criteria. Following the </w:t>
      </w:r>
      <w:r w:rsidR="007F0037">
        <w:rPr>
          <w:rFonts w:eastAsia="Arial"/>
          <w:b/>
          <w:sz w:val="22"/>
          <w:szCs w:val="22"/>
        </w:rPr>
        <w:t xml:space="preserve">purpose of Flow Cytometry </w:t>
      </w:r>
      <w:r w:rsidRPr="00AD2B29">
        <w:rPr>
          <w:rFonts w:eastAsia="Arial"/>
          <w:b/>
          <w:sz w:val="22"/>
          <w:szCs w:val="22"/>
        </w:rPr>
        <w:t>, the aim of this report was to standardize the minimum requirements to achieve an accurate diagnosis in CLPDs, considering the different economic possibilities of the laboratories in our coun</w:t>
      </w:r>
      <w:r w:rsidR="007F0037">
        <w:rPr>
          <w:rFonts w:eastAsia="Arial"/>
          <w:b/>
          <w:sz w:val="22"/>
          <w:szCs w:val="22"/>
        </w:rPr>
        <w:t>try. Most laboratories in India</w:t>
      </w:r>
      <w:r w:rsidRPr="00AD2B29">
        <w:rPr>
          <w:rFonts w:eastAsia="Arial"/>
          <w:b/>
          <w:sz w:val="22"/>
          <w:szCs w:val="22"/>
        </w:rPr>
        <w:t xml:space="preserve"> work with 4-fluorescence fl</w:t>
      </w:r>
      <w:r w:rsidR="007F0037">
        <w:rPr>
          <w:rFonts w:eastAsia="Arial"/>
          <w:b/>
          <w:sz w:val="22"/>
          <w:szCs w:val="22"/>
        </w:rPr>
        <w:t xml:space="preserve">ow cytometers, which is why this study </w:t>
      </w:r>
      <w:r w:rsidRPr="00AD2B29">
        <w:rPr>
          <w:rFonts w:eastAsia="Arial"/>
          <w:b/>
          <w:sz w:val="22"/>
          <w:szCs w:val="22"/>
        </w:rPr>
        <w:t>has</w:t>
      </w:r>
      <w:r w:rsidR="007F0037">
        <w:rPr>
          <w:rFonts w:eastAsia="Arial"/>
          <w:b/>
          <w:sz w:val="22"/>
          <w:szCs w:val="22"/>
        </w:rPr>
        <w:t xml:space="preserve"> been</w:t>
      </w:r>
      <w:r w:rsidRPr="00AD2B29">
        <w:rPr>
          <w:rFonts w:eastAsia="Arial"/>
          <w:b/>
          <w:sz w:val="22"/>
          <w:szCs w:val="22"/>
        </w:rPr>
        <w:t xml:space="preserve"> proposed 4-color monoclonal antibody (MoAb) panels.</w:t>
      </w:r>
    </w:p>
    <w:p w:rsidR="00AD2B29" w:rsidRPr="00AD2B29" w:rsidRDefault="00AD2B29" w:rsidP="00AD2B29">
      <w:pPr>
        <w:spacing w:line="7" w:lineRule="exact"/>
        <w:rPr>
          <w:sz w:val="22"/>
          <w:szCs w:val="22"/>
        </w:rPr>
      </w:pPr>
    </w:p>
    <w:p w:rsidR="007F0037" w:rsidRDefault="007F0037" w:rsidP="00AD2B29">
      <w:pPr>
        <w:spacing w:line="269" w:lineRule="auto"/>
        <w:ind w:left="720" w:right="720" w:firstLine="191"/>
        <w:jc w:val="both"/>
        <w:rPr>
          <w:rFonts w:eastAsia="Arial"/>
          <w:b/>
          <w:sz w:val="22"/>
          <w:szCs w:val="22"/>
        </w:rPr>
      </w:pPr>
    </w:p>
    <w:p w:rsidR="00AD2B29" w:rsidRPr="00AD2B29" w:rsidRDefault="00AD2B29" w:rsidP="00AD2B29">
      <w:pPr>
        <w:spacing w:line="269" w:lineRule="auto"/>
        <w:ind w:left="720" w:right="720" w:firstLine="191"/>
        <w:jc w:val="both"/>
        <w:rPr>
          <w:rFonts w:eastAsia="Arial"/>
          <w:b/>
          <w:sz w:val="22"/>
          <w:szCs w:val="22"/>
        </w:rPr>
      </w:pPr>
      <w:r w:rsidRPr="00AD2B29">
        <w:rPr>
          <w:rFonts w:eastAsia="Arial"/>
          <w:b/>
          <w:sz w:val="22"/>
          <w:szCs w:val="22"/>
        </w:rPr>
        <w:t xml:space="preserve">Methods/Results: Panels for screening and diagnosis in B, T and NK lymphoproliferative disorders were developed based on the normal differentiation pathways of these </w:t>
      </w:r>
      <w:r w:rsidR="007F0037">
        <w:rPr>
          <w:rFonts w:eastAsia="Arial"/>
          <w:b/>
          <w:sz w:val="22"/>
          <w:szCs w:val="22"/>
        </w:rPr>
        <w:t>cells and the most frequent phe</w:t>
      </w:r>
      <w:r w:rsidRPr="00AD2B29">
        <w:rPr>
          <w:rFonts w:eastAsia="Arial"/>
          <w:b/>
          <w:sz w:val="22"/>
          <w:szCs w:val="22"/>
        </w:rPr>
        <w:t>notypic aberrations. Important markers for prognosis and for minimal residual disease (MRD) evaluation were also included. The MoAb panels presented here were designed based on the diagnostic expertise of the participating laboratories and an extensive literature review.</w:t>
      </w:r>
    </w:p>
    <w:p w:rsidR="00AD2B29" w:rsidRPr="00AD2B29" w:rsidRDefault="00AD2B29" w:rsidP="00AD2B29">
      <w:pPr>
        <w:spacing w:line="4" w:lineRule="exact"/>
        <w:rPr>
          <w:sz w:val="22"/>
          <w:szCs w:val="22"/>
        </w:rPr>
      </w:pPr>
    </w:p>
    <w:p w:rsidR="007F0037" w:rsidRDefault="007F0037" w:rsidP="00AD2B29">
      <w:pPr>
        <w:spacing w:line="292" w:lineRule="auto"/>
        <w:ind w:left="720" w:right="720" w:firstLine="191"/>
        <w:jc w:val="both"/>
        <w:rPr>
          <w:rFonts w:eastAsia="Arial"/>
          <w:b/>
          <w:sz w:val="22"/>
          <w:szCs w:val="22"/>
        </w:rPr>
      </w:pPr>
    </w:p>
    <w:p w:rsidR="00AD2B29" w:rsidRPr="00AD2B29" w:rsidRDefault="00AD2B29" w:rsidP="00AD2B29">
      <w:pPr>
        <w:spacing w:line="292" w:lineRule="auto"/>
        <w:ind w:left="720" w:right="720" w:firstLine="191"/>
        <w:jc w:val="both"/>
        <w:rPr>
          <w:rFonts w:eastAsia="Arial"/>
          <w:b/>
          <w:sz w:val="22"/>
          <w:szCs w:val="22"/>
        </w:rPr>
      </w:pPr>
      <w:r w:rsidRPr="00AD2B29">
        <w:rPr>
          <w:rFonts w:eastAsia="Arial"/>
          <w:b/>
          <w:sz w:val="22"/>
          <w:szCs w:val="22"/>
        </w:rPr>
        <w:t xml:space="preserve">Conclusion: </w:t>
      </w:r>
      <w:r w:rsidR="007F0037">
        <w:rPr>
          <w:rFonts w:eastAsia="Arial"/>
          <w:b/>
          <w:sz w:val="22"/>
          <w:szCs w:val="22"/>
        </w:rPr>
        <w:t xml:space="preserve">The 4-color panels presented to </w:t>
      </w:r>
      <w:r w:rsidRPr="00AD2B29">
        <w:rPr>
          <w:rFonts w:eastAsia="Arial"/>
          <w:b/>
          <w:sz w:val="22"/>
          <w:szCs w:val="22"/>
        </w:rPr>
        <w:t>aid in the diagnosis of lym</w:t>
      </w:r>
      <w:r w:rsidR="007F0037">
        <w:rPr>
          <w:rFonts w:eastAsia="Arial"/>
          <w:b/>
          <w:sz w:val="22"/>
          <w:szCs w:val="22"/>
        </w:rPr>
        <w:t>phoproliferative neoplasms by Flow Cytometry</w:t>
      </w:r>
      <w:r w:rsidRPr="00AD2B29">
        <w:rPr>
          <w:rFonts w:eastAsia="Arial"/>
          <w:b/>
          <w:sz w:val="22"/>
          <w:szCs w:val="22"/>
        </w:rPr>
        <w:t xml:space="preserve"> aim to provide clinical laboratories with a systematic, step-wis</w:t>
      </w:r>
      <w:r w:rsidR="007F0037">
        <w:rPr>
          <w:rFonts w:eastAsia="Arial"/>
          <w:b/>
          <w:sz w:val="22"/>
          <w:szCs w:val="22"/>
        </w:rPr>
        <w:t>e, cost-effective, and reproduc</w:t>
      </w:r>
      <w:r w:rsidRPr="00AD2B29">
        <w:rPr>
          <w:rFonts w:eastAsia="Arial"/>
          <w:b/>
          <w:sz w:val="22"/>
          <w:szCs w:val="22"/>
        </w:rPr>
        <w:t>ible approach to obtain an accurate immunophenotypic diagnosis of the most frequent of these disorders.</w:t>
      </w:r>
    </w:p>
    <w:p w:rsidR="00AD2B29" w:rsidRPr="00AD2B29" w:rsidRDefault="00AD2B29" w:rsidP="00AD2B29">
      <w:pPr>
        <w:spacing w:line="3" w:lineRule="exact"/>
        <w:rPr>
          <w:sz w:val="22"/>
          <w:szCs w:val="22"/>
        </w:rPr>
      </w:pPr>
    </w:p>
    <w:p w:rsidR="00AD2B29" w:rsidRPr="00AD2B29" w:rsidRDefault="00AD2B29" w:rsidP="00AD2B29">
      <w:pPr>
        <w:spacing w:line="0" w:lineRule="atLeast"/>
        <w:ind w:left="720"/>
        <w:rPr>
          <w:rFonts w:eastAsia="Arial"/>
          <w:b/>
          <w:sz w:val="22"/>
          <w:szCs w:val="22"/>
        </w:rPr>
      </w:pPr>
    </w:p>
    <w:p w:rsidR="00AD2B29" w:rsidRPr="00AD2B29" w:rsidRDefault="007F0037" w:rsidP="007F0037">
      <w:pPr>
        <w:spacing w:line="230" w:lineRule="auto"/>
        <w:ind w:right="720"/>
        <w:jc w:val="both"/>
        <w:rPr>
          <w:rFonts w:eastAsia="Arial"/>
          <w:b/>
          <w:sz w:val="22"/>
          <w:szCs w:val="22"/>
        </w:rPr>
      </w:pPr>
      <w:r>
        <w:rPr>
          <w:sz w:val="22"/>
          <w:szCs w:val="22"/>
        </w:rPr>
        <w:t xml:space="preserve">             </w:t>
      </w:r>
      <w:r w:rsidR="00AD2B29" w:rsidRPr="00AD2B29">
        <w:rPr>
          <w:rFonts w:eastAsia="Arial"/>
          <w:b/>
          <w:sz w:val="22"/>
          <w:szCs w:val="22"/>
        </w:rPr>
        <w:t>Key terms: chronic lymphoproliferative diso</w:t>
      </w:r>
      <w:r>
        <w:rPr>
          <w:rFonts w:eastAsia="Arial"/>
          <w:b/>
          <w:sz w:val="22"/>
          <w:szCs w:val="22"/>
        </w:rPr>
        <w:t xml:space="preserve">rders; flow cytometry; </w:t>
      </w:r>
      <w:r w:rsidR="00AD2B29" w:rsidRPr="00AD2B29">
        <w:rPr>
          <w:rFonts w:eastAsia="Arial"/>
          <w:b/>
          <w:sz w:val="22"/>
          <w:szCs w:val="22"/>
        </w:rPr>
        <w:t>monoclonal antibody panel; lymphoma; multiple myeloma</w:t>
      </w:r>
    </w:p>
    <w:p w:rsidR="007F0037" w:rsidRDefault="007F0037" w:rsidP="00AC3BCD">
      <w:pPr>
        <w:jc w:val="both"/>
        <w:rPr>
          <w:b/>
        </w:rPr>
      </w:pPr>
    </w:p>
    <w:p w:rsidR="007F0037" w:rsidRDefault="007F0037" w:rsidP="00AC3BCD">
      <w:pPr>
        <w:jc w:val="both"/>
        <w:rPr>
          <w:b/>
        </w:rPr>
      </w:pPr>
    </w:p>
    <w:p w:rsidR="007F0037" w:rsidRDefault="007F0037" w:rsidP="00AC3BCD">
      <w:pPr>
        <w:jc w:val="both"/>
        <w:rPr>
          <w:b/>
        </w:rPr>
      </w:pPr>
    </w:p>
    <w:p w:rsidR="007F0037" w:rsidRDefault="007F0037" w:rsidP="00AC3BCD">
      <w:pPr>
        <w:jc w:val="both"/>
        <w:rPr>
          <w:b/>
        </w:rPr>
      </w:pPr>
    </w:p>
    <w:p w:rsidR="007F0037" w:rsidRDefault="007F0037" w:rsidP="00AC3BCD">
      <w:pPr>
        <w:jc w:val="both"/>
        <w:rPr>
          <w:b/>
        </w:rPr>
      </w:pPr>
    </w:p>
    <w:p w:rsidR="007F0037" w:rsidRDefault="007F0037" w:rsidP="007F0037">
      <w:pPr>
        <w:jc w:val="center"/>
        <w:rPr>
          <w:b/>
        </w:rPr>
      </w:pPr>
      <w:r>
        <w:rPr>
          <w:noProof/>
          <w:lang w:val="en-IN" w:eastAsia="en-IN"/>
        </w:rPr>
        <w:drawing>
          <wp:inline distT="0" distB="0" distL="0" distR="0">
            <wp:extent cx="2429648" cy="1215409"/>
            <wp:effectExtent l="19050" t="0" r="8752" b="0"/>
            <wp:docPr id="2" name="Picture 2" descr="Image result for flow cytome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low cytometry"/>
                    <pic:cNvPicPr>
                      <a:picLocks noChangeAspect="1" noChangeArrowheads="1"/>
                    </pic:cNvPicPr>
                  </pic:nvPicPr>
                  <pic:blipFill>
                    <a:blip r:embed="rId9"/>
                    <a:srcRect/>
                    <a:stretch>
                      <a:fillRect/>
                    </a:stretch>
                  </pic:blipFill>
                  <pic:spPr bwMode="auto">
                    <a:xfrm>
                      <a:off x="0" y="0"/>
                      <a:ext cx="2431738" cy="1216455"/>
                    </a:xfrm>
                    <a:prstGeom prst="rect">
                      <a:avLst/>
                    </a:prstGeom>
                    <a:noFill/>
                    <a:ln w="9525">
                      <a:noFill/>
                      <a:miter lim="800000"/>
                      <a:headEnd/>
                      <a:tailEnd/>
                    </a:ln>
                  </pic:spPr>
                </pic:pic>
              </a:graphicData>
            </a:graphic>
          </wp:inline>
        </w:drawing>
      </w:r>
    </w:p>
    <w:p w:rsidR="007F0037" w:rsidRDefault="007F0037" w:rsidP="00AC3BCD">
      <w:pPr>
        <w:jc w:val="both"/>
        <w:rPr>
          <w:b/>
        </w:rPr>
      </w:pPr>
    </w:p>
    <w:p w:rsidR="00AC3BCD" w:rsidRPr="00AD2B29" w:rsidRDefault="00AC3BCD" w:rsidP="00AC3BCD">
      <w:pPr>
        <w:jc w:val="both"/>
        <w:rPr>
          <w:b/>
        </w:rPr>
      </w:pPr>
      <w:r w:rsidRPr="00AD2B29">
        <w:rPr>
          <w:b/>
        </w:rPr>
        <w:t>Biography</w:t>
      </w:r>
    </w:p>
    <w:p w:rsidR="0077173A" w:rsidRDefault="0077173A" w:rsidP="0077173A">
      <w:pPr>
        <w:autoSpaceDE w:val="0"/>
        <w:autoSpaceDN w:val="0"/>
        <w:adjustRightInd w:val="0"/>
        <w:rPr>
          <w:b/>
        </w:rPr>
      </w:pPr>
    </w:p>
    <w:p w:rsidR="0077173A" w:rsidRPr="0077173A" w:rsidRDefault="0077173A" w:rsidP="0077173A">
      <w:pPr>
        <w:autoSpaceDE w:val="0"/>
        <w:autoSpaceDN w:val="0"/>
        <w:adjustRightInd w:val="0"/>
        <w:rPr>
          <w:b/>
          <w:sz w:val="22"/>
          <w:szCs w:val="22"/>
          <w:shd w:val="clear" w:color="auto" w:fill="FFFFFF"/>
        </w:rPr>
      </w:pPr>
      <w:r w:rsidRPr="0077173A">
        <w:rPr>
          <w:b/>
          <w:sz w:val="22"/>
          <w:szCs w:val="22"/>
          <w:shd w:val="clear" w:color="auto" w:fill="FFFFFF"/>
        </w:rPr>
        <w:t xml:space="preserve">Somil Singhal has completed his Bachelor of Medicine and Surgery (MBBS) at the age of 25 years of age from Beijing Medical University, China and Post Doctoral Studies in Doctor of Medicine In Pathology from Rajiv Gandhi University of Health Sciences, Bangalore, India. Currently, he is working as Consultant Pathologist in the Kriti Scanning And Diagnostic Center Private Limited at Kriti Scanning Group Of Institute, Allahabad, Uttar Pradesh  India. He has attended various Conferences, CME’s and published Case studies, Dissertations in reputed journals like IJLSSR, Index Copernicus, Poland Journal of Dermatology and is the life member of Indian Medical Association, Allahabad Medical Association and Association Of Pathological Society Of India. Besides this, he had worked as a </w:t>
      </w:r>
      <w:r>
        <w:rPr>
          <w:b/>
          <w:sz w:val="22"/>
          <w:szCs w:val="22"/>
          <w:shd w:val="clear" w:color="auto" w:fill="FFFFFF"/>
        </w:rPr>
        <w:t>E</w:t>
      </w:r>
      <w:r w:rsidRPr="0077173A">
        <w:rPr>
          <w:b/>
          <w:sz w:val="22"/>
          <w:szCs w:val="22"/>
          <w:shd w:val="clear" w:color="auto" w:fill="FFFFFF"/>
        </w:rPr>
        <w:t>x .resident</w:t>
      </w:r>
      <w:r>
        <w:rPr>
          <w:b/>
          <w:sz w:val="22"/>
          <w:szCs w:val="22"/>
          <w:shd w:val="clear" w:color="auto" w:fill="FFFFFF"/>
        </w:rPr>
        <w:t xml:space="preserve"> in AIIMS Trauma Center in the Department Of Emergency M</w:t>
      </w:r>
      <w:r w:rsidRPr="0077173A">
        <w:rPr>
          <w:b/>
          <w:sz w:val="22"/>
          <w:szCs w:val="22"/>
          <w:shd w:val="clear" w:color="auto" w:fill="FFFFFF"/>
        </w:rPr>
        <w:t xml:space="preserve">edicine, </w:t>
      </w:r>
      <w:r>
        <w:rPr>
          <w:b/>
          <w:sz w:val="22"/>
          <w:szCs w:val="22"/>
          <w:shd w:val="clear" w:color="auto" w:fill="FFFFFF"/>
        </w:rPr>
        <w:t>E</w:t>
      </w:r>
      <w:r w:rsidRPr="0077173A">
        <w:rPr>
          <w:b/>
          <w:sz w:val="22"/>
          <w:szCs w:val="22"/>
          <w:shd w:val="clear" w:color="auto" w:fill="FFFFFF"/>
        </w:rPr>
        <w:t>x.  Cardiac resident at Fortis Hospital Okhla, Delhi</w:t>
      </w:r>
      <w:r>
        <w:rPr>
          <w:b/>
          <w:sz w:val="22"/>
          <w:szCs w:val="22"/>
          <w:shd w:val="clear" w:color="auto" w:fill="FFFFFF"/>
        </w:rPr>
        <w:t>, E</w:t>
      </w:r>
      <w:r w:rsidRPr="0077173A">
        <w:rPr>
          <w:b/>
          <w:sz w:val="22"/>
          <w:szCs w:val="22"/>
          <w:shd w:val="clear" w:color="auto" w:fill="FFFFFF"/>
        </w:rPr>
        <w:t xml:space="preserve">x. Senior Resident in Ashwini Rural Medical </w:t>
      </w:r>
      <w:r>
        <w:rPr>
          <w:b/>
          <w:sz w:val="22"/>
          <w:szCs w:val="22"/>
          <w:shd w:val="clear" w:color="auto" w:fill="FFFFFF"/>
        </w:rPr>
        <w:t>College, Solapur, Maharashtra, E</w:t>
      </w:r>
      <w:r w:rsidRPr="0077173A">
        <w:rPr>
          <w:b/>
          <w:sz w:val="22"/>
          <w:szCs w:val="22"/>
          <w:shd w:val="clear" w:color="auto" w:fill="FFFFFF"/>
        </w:rPr>
        <w:t>x. S</w:t>
      </w:r>
      <w:r w:rsidR="006C49A5">
        <w:rPr>
          <w:b/>
          <w:sz w:val="22"/>
          <w:szCs w:val="22"/>
          <w:shd w:val="clear" w:color="auto" w:fill="FFFFFF"/>
        </w:rPr>
        <w:t>enior resident at Maharaja group Of</w:t>
      </w:r>
      <w:r w:rsidRPr="0077173A">
        <w:rPr>
          <w:b/>
          <w:sz w:val="22"/>
          <w:szCs w:val="22"/>
          <w:shd w:val="clear" w:color="auto" w:fill="FFFFFF"/>
        </w:rPr>
        <w:t xml:space="preserve"> hospital, New Delhi, India and attended various ITO and blood bank camps for service to the society.</w:t>
      </w:r>
    </w:p>
    <w:p w:rsidR="006C49A5" w:rsidRDefault="006C49A5" w:rsidP="00AC3BCD">
      <w:pPr>
        <w:autoSpaceDE w:val="0"/>
        <w:autoSpaceDN w:val="0"/>
        <w:adjustRightInd w:val="0"/>
        <w:rPr>
          <w:b/>
          <w:lang w:val="en-NZ"/>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C49A5">
        <w:rPr>
          <w:lang w:val="en-NZ"/>
        </w:rPr>
        <w:t>DR. SOMIL SINGHAL</w:t>
      </w:r>
      <w:r w:rsidRPr="008A690F">
        <w:rPr>
          <w:lang w:val="en-NZ"/>
        </w:rPr>
        <w:br/>
        <w:t>Contact number:</w:t>
      </w:r>
      <w:r w:rsidR="006C49A5">
        <w:rPr>
          <w:lang w:val="en-NZ"/>
        </w:rPr>
        <w:t>0091-9140163023, 0091-9026405151</w:t>
      </w:r>
      <w:r w:rsidRPr="008A690F">
        <w:rPr>
          <w:lang w:val="en-NZ"/>
        </w:rPr>
        <w:br/>
        <w:t>Twitter account:</w:t>
      </w:r>
      <w:r w:rsidR="006C49A5">
        <w:rPr>
          <w:lang w:val="en-NZ"/>
        </w:rPr>
        <w:t>NOT APPLICABLE</w:t>
      </w:r>
      <w:r w:rsidRPr="008A690F">
        <w:rPr>
          <w:lang w:val="en-NZ"/>
        </w:rPr>
        <w:br/>
        <w:t>Linked In account:</w:t>
      </w:r>
      <w:r w:rsidR="006C49A5">
        <w:rPr>
          <w:lang w:val="en-NZ"/>
        </w:rPr>
        <w:t>95920894</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6C49A5">
        <w:rPr>
          <w:lang w:val="en-NZ"/>
        </w:rPr>
        <w:t>Oral Presentation (Key Note)</w:t>
      </w:r>
      <w:r w:rsidRPr="008A690F">
        <w:rPr>
          <w:lang w:val="en-NZ"/>
        </w:rPr>
        <w:br/>
        <w:t>Category: (Oral presentation/ Poster</w:t>
      </w:r>
      <w:r w:rsidR="00085B88" w:rsidRPr="008A690F">
        <w:rPr>
          <w:lang w:val="en-NZ"/>
        </w:rPr>
        <w:t xml:space="preserve"> presentation</w:t>
      </w:r>
      <w:r w:rsidRPr="008A690F">
        <w:rPr>
          <w:lang w:val="en-NZ"/>
        </w:rPr>
        <w:t>)</w:t>
      </w:r>
      <w:r w:rsidR="006C49A5">
        <w:rPr>
          <w:lang w:val="en-NZ"/>
        </w:rPr>
        <w:t xml:space="preserve">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6128" w:rsidRDefault="00F26128" w:rsidP="00671A59">
      <w:r>
        <w:separator/>
      </w:r>
    </w:p>
  </w:endnote>
  <w:endnote w:type="continuationSeparator" w:id="1">
    <w:p w:rsidR="00F26128" w:rsidRDefault="00F26128"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6128" w:rsidRDefault="00F26128" w:rsidP="00671A59">
      <w:r>
        <w:separator/>
      </w:r>
    </w:p>
  </w:footnote>
  <w:footnote w:type="continuationSeparator" w:id="1">
    <w:p w:rsidR="00F26128" w:rsidRDefault="00F26128"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49A5"/>
    <w:rsid w:val="006C51B8"/>
    <w:rsid w:val="006F0C5C"/>
    <w:rsid w:val="007258AA"/>
    <w:rsid w:val="00743CCA"/>
    <w:rsid w:val="00746319"/>
    <w:rsid w:val="0077173A"/>
    <w:rsid w:val="007875D1"/>
    <w:rsid w:val="00790C29"/>
    <w:rsid w:val="007F0037"/>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2B29"/>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26128"/>
    <w:rsid w:val="00F42DCF"/>
    <w:rsid w:val="00F709F5"/>
    <w:rsid w:val="00F90AE2"/>
    <w:rsid w:val="00FA5CBE"/>
    <w:rsid w:val="00FB641C"/>
    <w:rsid w:val="00FC1073"/>
    <w:rsid w:val="00FD4F24"/>
    <w:rsid w:val="00FF16A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2953</Characters>
  <Application>Microsoft Office Word</Application>
  <DocSecurity>0</DocSecurity>
  <Lines>24</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2019-11-19T05:25:00Z</dcterms:created>
  <dcterms:modified xsi:type="dcterms:W3CDTF">2019-11-19T05:42:00Z</dcterms:modified>
</cp:coreProperties>
</file>