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365" w:rsidRPr="00B25365" w:rsidRDefault="00B64782" w:rsidP="00B25365">
      <w:pPr>
        <w:pStyle w:val="Heading1"/>
        <w:jc w:val="center"/>
        <w:rPr>
          <w:rFonts w:asciiTheme="majorBidi" w:hAnsiTheme="majorBidi"/>
          <w:color w:val="auto"/>
          <w:sz w:val="32"/>
          <w:szCs w:val="32"/>
        </w:rPr>
      </w:pPr>
      <w:r w:rsidRPr="00115A41">
        <w:rPr>
          <w:noProof/>
        </w:rPr>
        <w:drawing>
          <wp:anchor distT="0" distB="0" distL="114300" distR="114300" simplePos="0" relativeHeight="251659264" behindDoc="0" locked="0" layoutInCell="1" allowOverlap="1" wp14:anchorId="5740E2F7" wp14:editId="6F4FFA30">
            <wp:simplePos x="0" y="0"/>
            <wp:positionH relativeFrom="margin">
              <wp:posOffset>5435600</wp:posOffset>
            </wp:positionH>
            <wp:positionV relativeFrom="margin">
              <wp:posOffset>152400</wp:posOffset>
            </wp:positionV>
            <wp:extent cx="1115695" cy="1381125"/>
            <wp:effectExtent l="0" t="0" r="8255" b="9525"/>
            <wp:wrapSquare wrapText="bothSides"/>
            <wp:docPr id="24" name="Picture 24"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5695" cy="1381125"/>
                    </a:xfrm>
                    <a:prstGeom prst="rect">
                      <a:avLst/>
                    </a:prstGeom>
                    <a:noFill/>
                  </pic:spPr>
                </pic:pic>
              </a:graphicData>
            </a:graphic>
          </wp:anchor>
        </w:drawing>
      </w:r>
      <w:r w:rsidR="00C759BF" w:rsidRPr="00CC2D48">
        <w:rPr>
          <w:rFonts w:asciiTheme="majorBidi" w:hAnsiTheme="majorBidi"/>
          <w:color w:val="auto"/>
          <w:sz w:val="32"/>
          <w:szCs w:val="32"/>
        </w:rPr>
        <w:t>STUDY OF ALTERNATIVE WILMS TUMOR GENE METHYLATION AS AN EPIGENETIC BIOMARKER IN ACUTE MYELOID LEUKEMIA</w:t>
      </w:r>
    </w:p>
    <w:p w:rsidR="00C759BF" w:rsidRPr="00CC2D48" w:rsidRDefault="00C759BF" w:rsidP="00C759BF">
      <w:pPr>
        <w:tabs>
          <w:tab w:val="right" w:pos="8306"/>
        </w:tabs>
        <w:jc w:val="center"/>
        <w:rPr>
          <w:rFonts w:asciiTheme="majorBidi" w:hAnsiTheme="majorBidi" w:cstheme="majorBidi"/>
          <w:b/>
          <w:bCs/>
          <w:sz w:val="28"/>
          <w:szCs w:val="28"/>
          <w:lang w:bidi="ar-EG"/>
        </w:rPr>
      </w:pPr>
      <w:r w:rsidRPr="00CC2D48">
        <w:rPr>
          <w:rFonts w:asciiTheme="majorBidi" w:hAnsiTheme="majorBidi" w:cstheme="majorBidi"/>
          <w:b/>
          <w:bCs/>
          <w:sz w:val="28"/>
          <w:szCs w:val="28"/>
        </w:rPr>
        <w:t>Magdy El</w:t>
      </w:r>
      <w:r w:rsidR="00CC2D48" w:rsidRPr="00CC2D48">
        <w:rPr>
          <w:rFonts w:asciiTheme="majorBidi" w:hAnsiTheme="majorBidi" w:cstheme="majorBidi"/>
          <w:b/>
          <w:bCs/>
          <w:sz w:val="28"/>
          <w:szCs w:val="28"/>
        </w:rPr>
        <w:t>-B</w:t>
      </w:r>
      <w:r w:rsidRPr="00CC2D48">
        <w:rPr>
          <w:rFonts w:asciiTheme="majorBidi" w:hAnsiTheme="majorBidi" w:cstheme="majorBidi"/>
          <w:b/>
          <w:bCs/>
          <w:sz w:val="28"/>
          <w:szCs w:val="28"/>
        </w:rPr>
        <w:t>ordiny</w:t>
      </w:r>
      <w:r w:rsidRPr="00CC2D48">
        <w:rPr>
          <w:rFonts w:asciiTheme="majorBidi" w:hAnsiTheme="majorBidi" w:cstheme="majorBidi"/>
          <w:sz w:val="28"/>
          <w:szCs w:val="28"/>
          <w:vertAlign w:val="superscript"/>
        </w:rPr>
        <w:t>1</w:t>
      </w:r>
      <w:r w:rsidRPr="00CC2D48">
        <w:rPr>
          <w:rFonts w:asciiTheme="majorBidi" w:hAnsiTheme="majorBidi" w:cstheme="majorBidi"/>
          <w:b/>
          <w:bCs/>
          <w:sz w:val="28"/>
          <w:szCs w:val="28"/>
        </w:rPr>
        <w:t>, Ashraf Al-Ghandour</w:t>
      </w:r>
      <w:r w:rsidRPr="00CC2D48">
        <w:rPr>
          <w:rFonts w:asciiTheme="majorBidi" w:hAnsiTheme="majorBidi" w:cstheme="majorBidi"/>
          <w:sz w:val="28"/>
          <w:szCs w:val="28"/>
          <w:vertAlign w:val="superscript"/>
        </w:rPr>
        <w:t>2</w:t>
      </w:r>
      <w:r w:rsidR="00CC2D48" w:rsidRPr="00CC2D48">
        <w:rPr>
          <w:rFonts w:asciiTheme="majorBidi" w:hAnsiTheme="majorBidi" w:cstheme="majorBidi"/>
          <w:b/>
          <w:bCs/>
          <w:sz w:val="28"/>
          <w:szCs w:val="28"/>
          <w:lang w:bidi="ar-EG"/>
        </w:rPr>
        <w:t>, Reham Abo Elwafa</w:t>
      </w:r>
      <w:r w:rsidRPr="00CC2D48">
        <w:rPr>
          <w:rFonts w:asciiTheme="majorBidi" w:hAnsiTheme="majorBidi" w:cstheme="majorBidi"/>
          <w:sz w:val="28"/>
          <w:szCs w:val="28"/>
          <w:vertAlign w:val="superscript"/>
          <w:lang w:bidi="ar-EG"/>
        </w:rPr>
        <w:t xml:space="preserve">1 </w:t>
      </w:r>
      <w:r w:rsidRPr="00CC2D48">
        <w:rPr>
          <w:rFonts w:asciiTheme="majorBidi" w:hAnsiTheme="majorBidi" w:cstheme="majorBidi"/>
          <w:b/>
          <w:bCs/>
          <w:sz w:val="28"/>
          <w:szCs w:val="28"/>
          <w:lang w:bidi="ar-EG"/>
        </w:rPr>
        <w:t>and Omneya Fayed</w:t>
      </w:r>
      <w:r w:rsidRPr="00CC2D48">
        <w:rPr>
          <w:rFonts w:asciiTheme="majorBidi" w:hAnsiTheme="majorBidi" w:cstheme="majorBidi"/>
          <w:sz w:val="28"/>
          <w:szCs w:val="28"/>
          <w:vertAlign w:val="superscript"/>
          <w:lang w:bidi="ar-EG"/>
        </w:rPr>
        <w:t>1</w:t>
      </w:r>
      <w:r w:rsidRPr="00CC2D48">
        <w:rPr>
          <w:rFonts w:asciiTheme="majorBidi" w:hAnsiTheme="majorBidi" w:cstheme="majorBidi"/>
          <w:b/>
          <w:bCs/>
          <w:sz w:val="28"/>
          <w:szCs w:val="28"/>
          <w:lang w:bidi="ar-EG"/>
        </w:rPr>
        <w:t xml:space="preserve">. </w:t>
      </w:r>
    </w:p>
    <w:p w:rsidR="00C759BF" w:rsidRPr="00CC2D48" w:rsidRDefault="00C759BF" w:rsidP="00C759BF">
      <w:pPr>
        <w:pStyle w:val="ListParagraph"/>
        <w:numPr>
          <w:ilvl w:val="0"/>
          <w:numId w:val="1"/>
        </w:numPr>
        <w:tabs>
          <w:tab w:val="right" w:pos="8306"/>
        </w:tabs>
        <w:jc w:val="center"/>
        <w:rPr>
          <w:rFonts w:asciiTheme="majorBidi" w:hAnsiTheme="majorBidi" w:cstheme="majorBidi"/>
          <w:b/>
          <w:bCs/>
          <w:i/>
          <w:iCs/>
          <w:sz w:val="28"/>
          <w:szCs w:val="28"/>
          <w:lang w:bidi="ar-EG"/>
        </w:rPr>
      </w:pPr>
      <w:r w:rsidRPr="00CC2D48">
        <w:rPr>
          <w:rFonts w:asciiTheme="majorBidi" w:hAnsiTheme="majorBidi" w:cstheme="majorBidi"/>
          <w:b/>
          <w:bCs/>
          <w:i/>
          <w:iCs/>
          <w:sz w:val="24"/>
          <w:szCs w:val="24"/>
          <w:lang w:bidi="ar-EG"/>
        </w:rPr>
        <w:t>Clinical and Chemical Pathology Department (2) Internal Medicine,</w:t>
      </w:r>
    </w:p>
    <w:p w:rsidR="00CC2D48" w:rsidRPr="00B25365" w:rsidRDefault="00C759BF" w:rsidP="00B25365">
      <w:pPr>
        <w:pStyle w:val="ListParagraph"/>
        <w:tabs>
          <w:tab w:val="right" w:pos="8306"/>
        </w:tabs>
        <w:jc w:val="center"/>
        <w:rPr>
          <w:rFonts w:asciiTheme="majorBidi" w:hAnsiTheme="majorBidi" w:cstheme="majorBidi"/>
          <w:b/>
          <w:bCs/>
          <w:i/>
          <w:iCs/>
          <w:sz w:val="28"/>
          <w:szCs w:val="28"/>
          <w:lang w:bidi="ar-EG"/>
        </w:rPr>
      </w:pPr>
      <w:r w:rsidRPr="00CC2D48">
        <w:rPr>
          <w:rFonts w:asciiTheme="majorBidi" w:hAnsiTheme="majorBidi" w:cstheme="majorBidi"/>
          <w:b/>
          <w:bCs/>
          <w:i/>
          <w:iCs/>
          <w:sz w:val="24"/>
          <w:szCs w:val="24"/>
          <w:lang w:bidi="ar-EG"/>
        </w:rPr>
        <w:t>Faculty of Medicine, Alexandria University,</w:t>
      </w:r>
      <w:r w:rsidR="00071FA3">
        <w:rPr>
          <w:rFonts w:asciiTheme="majorBidi" w:hAnsiTheme="majorBidi" w:cstheme="majorBidi"/>
          <w:b/>
          <w:bCs/>
          <w:i/>
          <w:iCs/>
          <w:sz w:val="24"/>
          <w:szCs w:val="24"/>
          <w:lang w:bidi="ar-EG"/>
        </w:rPr>
        <w:t xml:space="preserve"> </w:t>
      </w:r>
      <w:r w:rsidRPr="00CC2D48">
        <w:rPr>
          <w:rFonts w:asciiTheme="majorBidi" w:hAnsiTheme="majorBidi" w:cstheme="majorBidi"/>
          <w:b/>
          <w:bCs/>
          <w:i/>
          <w:iCs/>
          <w:sz w:val="24"/>
          <w:szCs w:val="24"/>
          <w:lang w:bidi="ar-EG"/>
        </w:rPr>
        <w:t>Egypt.</w:t>
      </w:r>
    </w:p>
    <w:p w:rsidR="00DA1DED" w:rsidRPr="00B25365" w:rsidRDefault="00916E47" w:rsidP="00916E47">
      <w:pPr>
        <w:autoSpaceDE w:val="0"/>
        <w:autoSpaceDN w:val="0"/>
        <w:adjustRightInd w:val="0"/>
        <w:spacing w:after="0"/>
        <w:jc w:val="both"/>
        <w:rPr>
          <w:rFonts w:asciiTheme="majorBidi" w:hAnsiTheme="majorBidi" w:cstheme="majorBidi"/>
          <w:color w:val="000000"/>
          <w:sz w:val="24"/>
          <w:szCs w:val="24"/>
          <w:lang w:bidi="ar-EG"/>
        </w:rPr>
      </w:pPr>
      <w:r w:rsidRPr="00B25365">
        <w:rPr>
          <w:rFonts w:asciiTheme="majorBidi" w:hAnsiTheme="majorBidi" w:cstheme="majorBidi"/>
          <w:b/>
          <w:bCs/>
          <w:sz w:val="24"/>
          <w:szCs w:val="24"/>
          <w:lang w:bidi="ar-EG"/>
        </w:rPr>
        <w:t>BACKGROUND:</w:t>
      </w:r>
      <w:r w:rsidRPr="00B25365">
        <w:rPr>
          <w:rFonts w:asciiTheme="majorBidi" w:hAnsiTheme="majorBidi" w:cstheme="majorBidi"/>
          <w:sz w:val="24"/>
          <w:szCs w:val="24"/>
          <w:lang w:bidi="ar-EG"/>
        </w:rPr>
        <w:t xml:space="preserve"> </w:t>
      </w:r>
      <w:r w:rsidR="00DA1DED" w:rsidRPr="00B25365">
        <w:rPr>
          <w:rFonts w:asciiTheme="majorBidi" w:hAnsiTheme="majorBidi" w:cstheme="majorBidi"/>
          <w:sz w:val="24"/>
          <w:szCs w:val="24"/>
          <w:lang w:bidi="ar-EG"/>
        </w:rPr>
        <w:t xml:space="preserve">Overexpression of the Wilms tumor 1 gene (WT1) is implicated in the prognosis of acute myeloid </w:t>
      </w:r>
      <w:r w:rsidR="00FA37C7" w:rsidRPr="00B25365">
        <w:rPr>
          <w:rFonts w:asciiTheme="majorBidi" w:hAnsiTheme="majorBidi" w:cstheme="majorBidi"/>
          <w:sz w:val="24"/>
          <w:szCs w:val="24"/>
          <w:lang w:bidi="ar-EG"/>
        </w:rPr>
        <w:t xml:space="preserve">leukemia (AML) </w:t>
      </w:r>
      <w:r w:rsidR="00DA1DED" w:rsidRPr="00B25365">
        <w:rPr>
          <w:rFonts w:asciiTheme="majorBidi" w:hAnsiTheme="majorBidi" w:cstheme="majorBidi"/>
          <w:sz w:val="24"/>
          <w:szCs w:val="24"/>
          <w:lang w:bidi="ar-EG"/>
        </w:rPr>
        <w:t>with high expression predicting disease progression, as well as being intensively studied as a potential molecular marker for minimal residual disease</w:t>
      </w:r>
      <w:r w:rsidR="00FA37C7" w:rsidRPr="00B25365">
        <w:rPr>
          <w:rFonts w:asciiTheme="majorBidi" w:hAnsiTheme="majorBidi" w:cstheme="majorBidi"/>
          <w:sz w:val="24"/>
          <w:szCs w:val="24"/>
          <w:lang w:bidi="ar-EG"/>
        </w:rPr>
        <w:t xml:space="preserve"> (MRD)</w:t>
      </w:r>
      <w:r w:rsidR="00DA1DED" w:rsidRPr="00B25365">
        <w:rPr>
          <w:rFonts w:asciiTheme="majorBidi" w:hAnsiTheme="majorBidi" w:cstheme="majorBidi"/>
          <w:sz w:val="24"/>
          <w:szCs w:val="24"/>
          <w:lang w:bidi="ar-EG"/>
        </w:rPr>
        <w:t xml:space="preserve"> and treatment response. Many different isoforms for WT1 are generated by alternative transcription initiation, mRNA splicing and alternative translation initiation. </w:t>
      </w:r>
      <w:r w:rsidR="00FA37C7" w:rsidRPr="00B25365">
        <w:rPr>
          <w:rFonts w:asciiTheme="majorBidi" w:hAnsiTheme="majorBidi" w:cstheme="majorBidi"/>
          <w:sz w:val="24"/>
          <w:szCs w:val="24"/>
          <w:lang w:bidi="ar-EG"/>
        </w:rPr>
        <w:t xml:space="preserve">Recently, </w:t>
      </w:r>
      <w:r w:rsidRPr="00B25365">
        <w:rPr>
          <w:rFonts w:asciiTheme="majorBidi" w:hAnsiTheme="majorBidi" w:cstheme="majorBidi"/>
          <w:sz w:val="24"/>
          <w:szCs w:val="24"/>
          <w:lang w:bidi="ar-EG"/>
        </w:rPr>
        <w:t>an</w:t>
      </w:r>
      <w:r w:rsidR="00DA1DED" w:rsidRPr="00B25365">
        <w:rPr>
          <w:rFonts w:asciiTheme="majorBidi" w:hAnsiTheme="majorBidi" w:cstheme="majorBidi"/>
          <w:sz w:val="24"/>
          <w:szCs w:val="24"/>
          <w:lang w:bidi="ar-EG"/>
        </w:rPr>
        <w:t xml:space="preserve"> alternative promoter incorporating a unique first exon, alternative WT1 transcript (AWT1), has been described</w:t>
      </w:r>
      <w:r w:rsidR="00FA37C7" w:rsidRPr="00B25365">
        <w:rPr>
          <w:rFonts w:asciiTheme="majorBidi" w:hAnsiTheme="majorBidi" w:cstheme="majorBidi"/>
          <w:sz w:val="24"/>
          <w:szCs w:val="24"/>
          <w:lang w:bidi="ar-EG"/>
        </w:rPr>
        <w:t xml:space="preserve">. </w:t>
      </w:r>
      <w:r w:rsidR="00FA37C7" w:rsidRPr="00B25365">
        <w:rPr>
          <w:rFonts w:asciiTheme="majorBidi" w:hAnsiTheme="majorBidi" w:cstheme="majorBidi"/>
          <w:color w:val="000000"/>
          <w:sz w:val="24"/>
          <w:szCs w:val="24"/>
          <w:lang w:bidi="ar-EG"/>
        </w:rPr>
        <w:t>The</w:t>
      </w:r>
      <w:r w:rsidR="00DA1DED" w:rsidRPr="00B25365">
        <w:rPr>
          <w:rFonts w:asciiTheme="majorBidi" w:hAnsiTheme="majorBidi" w:cstheme="majorBidi"/>
          <w:color w:val="000000"/>
          <w:sz w:val="24"/>
          <w:szCs w:val="24"/>
          <w:lang w:bidi="ar-EG"/>
        </w:rPr>
        <w:t xml:space="preserve"> AWT1 expression and the underlying epigenetic alterations associated with its expression in AML are still unknown.</w:t>
      </w:r>
    </w:p>
    <w:p w:rsidR="00FA37C7" w:rsidRPr="00B25365" w:rsidRDefault="00916E47" w:rsidP="00916E47">
      <w:pPr>
        <w:autoSpaceDE w:val="0"/>
        <w:autoSpaceDN w:val="0"/>
        <w:adjustRightInd w:val="0"/>
        <w:spacing w:after="0"/>
        <w:jc w:val="both"/>
        <w:rPr>
          <w:rFonts w:asciiTheme="majorBidi" w:hAnsiTheme="majorBidi" w:cstheme="majorBidi"/>
          <w:color w:val="000000"/>
          <w:sz w:val="24"/>
          <w:szCs w:val="24"/>
        </w:rPr>
      </w:pPr>
      <w:r w:rsidRPr="00B25365">
        <w:rPr>
          <w:rFonts w:asciiTheme="majorBidi" w:hAnsiTheme="majorBidi" w:cstheme="majorBidi"/>
          <w:b/>
          <w:bCs/>
          <w:color w:val="000000"/>
          <w:sz w:val="24"/>
          <w:szCs w:val="24"/>
        </w:rPr>
        <w:t>OBJECTIVES:</w:t>
      </w:r>
      <w:r w:rsidRPr="00B25365">
        <w:rPr>
          <w:rFonts w:asciiTheme="majorBidi" w:hAnsiTheme="majorBidi" w:cstheme="majorBidi"/>
          <w:color w:val="000000"/>
          <w:sz w:val="24"/>
          <w:szCs w:val="24"/>
        </w:rPr>
        <w:t xml:space="preserve"> </w:t>
      </w:r>
      <w:r w:rsidR="007F460F" w:rsidRPr="00B25365">
        <w:rPr>
          <w:rFonts w:asciiTheme="majorBidi" w:hAnsiTheme="majorBidi" w:cstheme="majorBidi"/>
          <w:color w:val="000000"/>
          <w:sz w:val="24"/>
          <w:szCs w:val="24"/>
        </w:rPr>
        <w:t xml:space="preserve">We studied the </w:t>
      </w:r>
      <w:r w:rsidR="00FA37C7" w:rsidRPr="00B25365">
        <w:rPr>
          <w:rFonts w:asciiTheme="majorBidi" w:hAnsiTheme="majorBidi" w:cstheme="majorBidi"/>
          <w:color w:val="000000"/>
          <w:sz w:val="24"/>
          <w:szCs w:val="24"/>
        </w:rPr>
        <w:t>AWT1 gene specific methylation changes and its relation with other clinicopathological features</w:t>
      </w:r>
      <w:r w:rsidR="007F460F" w:rsidRPr="00B25365">
        <w:rPr>
          <w:rFonts w:asciiTheme="majorBidi" w:hAnsiTheme="majorBidi" w:cstheme="majorBidi"/>
          <w:color w:val="000000"/>
          <w:sz w:val="24"/>
          <w:szCs w:val="24"/>
        </w:rPr>
        <w:t xml:space="preserve">. </w:t>
      </w:r>
      <w:r w:rsidR="00FA37C7" w:rsidRPr="00B25365">
        <w:rPr>
          <w:rFonts w:asciiTheme="majorBidi" w:hAnsiTheme="majorBidi" w:cstheme="majorBidi"/>
          <w:color w:val="000000"/>
          <w:sz w:val="24"/>
          <w:szCs w:val="24"/>
          <w:lang w:bidi="ar-EG"/>
        </w:rPr>
        <w:t>We also integrated the corresponding gene expression profile to explore the role of methylation in regulating gene expression.</w:t>
      </w:r>
    </w:p>
    <w:p w:rsidR="00AF66BE" w:rsidRPr="00B25365" w:rsidRDefault="00916E47" w:rsidP="00916E47">
      <w:pPr>
        <w:autoSpaceDE w:val="0"/>
        <w:autoSpaceDN w:val="0"/>
        <w:adjustRightInd w:val="0"/>
        <w:spacing w:after="0"/>
        <w:jc w:val="both"/>
        <w:rPr>
          <w:rFonts w:asciiTheme="majorBidi" w:hAnsiTheme="majorBidi" w:cstheme="majorBidi"/>
          <w:color w:val="131413"/>
          <w:sz w:val="24"/>
          <w:szCs w:val="24"/>
        </w:rPr>
      </w:pPr>
      <w:r w:rsidRPr="00B25365">
        <w:rPr>
          <w:rFonts w:asciiTheme="majorBidi" w:hAnsiTheme="majorBidi" w:cstheme="majorBidi"/>
          <w:b/>
          <w:bCs/>
          <w:color w:val="131413"/>
          <w:sz w:val="24"/>
          <w:szCs w:val="24"/>
        </w:rPr>
        <w:t>MATERIALS AND METHODS:</w:t>
      </w:r>
      <w:r w:rsidRPr="00B25365">
        <w:rPr>
          <w:rFonts w:asciiTheme="majorBidi" w:hAnsiTheme="majorBidi" w:cstheme="majorBidi"/>
          <w:color w:val="131413"/>
          <w:sz w:val="24"/>
          <w:szCs w:val="24"/>
        </w:rPr>
        <w:t xml:space="preserve"> Bisulfite PCR followed by pyro</w:t>
      </w:r>
      <w:r w:rsidR="00AF66BE" w:rsidRPr="00B25365">
        <w:rPr>
          <w:rFonts w:asciiTheme="majorBidi" w:hAnsiTheme="majorBidi" w:cstheme="majorBidi"/>
          <w:color w:val="131413"/>
          <w:sz w:val="24"/>
          <w:szCs w:val="24"/>
        </w:rPr>
        <w:t>sequencing were done to determine the methylation status of AWT1 gene</w:t>
      </w:r>
      <w:r w:rsidRPr="00B25365">
        <w:rPr>
          <w:rFonts w:asciiTheme="majorBidi" w:hAnsiTheme="majorBidi" w:cstheme="majorBidi"/>
          <w:color w:val="131413"/>
          <w:sz w:val="24"/>
          <w:szCs w:val="24"/>
        </w:rPr>
        <w:t xml:space="preserve"> promotor CPG islands</w:t>
      </w:r>
      <w:r w:rsidR="00AF66BE" w:rsidRPr="00B25365">
        <w:rPr>
          <w:rFonts w:asciiTheme="majorBidi" w:hAnsiTheme="majorBidi" w:cstheme="majorBidi"/>
          <w:color w:val="131413"/>
          <w:sz w:val="24"/>
          <w:szCs w:val="24"/>
        </w:rPr>
        <w:t xml:space="preserve"> </w:t>
      </w:r>
      <w:r w:rsidR="00071FA3" w:rsidRPr="00B25365">
        <w:rPr>
          <w:rFonts w:asciiTheme="majorBidi" w:hAnsiTheme="majorBidi" w:cstheme="majorBidi"/>
          <w:color w:val="131413"/>
          <w:sz w:val="24"/>
          <w:szCs w:val="24"/>
        </w:rPr>
        <w:t>in 5</w:t>
      </w:r>
      <w:r w:rsidR="00AF66BE" w:rsidRPr="00B25365">
        <w:rPr>
          <w:rFonts w:asciiTheme="majorBidi" w:hAnsiTheme="majorBidi" w:cstheme="majorBidi"/>
          <w:color w:val="131413"/>
          <w:sz w:val="24"/>
          <w:szCs w:val="24"/>
        </w:rPr>
        <w:t>0 ne</w:t>
      </w:r>
      <w:r w:rsidR="00071FA3" w:rsidRPr="00B25365">
        <w:rPr>
          <w:rFonts w:asciiTheme="majorBidi" w:hAnsiTheme="majorBidi" w:cstheme="majorBidi"/>
          <w:color w:val="131413"/>
          <w:sz w:val="24"/>
          <w:szCs w:val="24"/>
        </w:rPr>
        <w:t>wly diagnosed AML patients and 5</w:t>
      </w:r>
      <w:r w:rsidR="00AF66BE" w:rsidRPr="00B25365">
        <w:rPr>
          <w:rFonts w:asciiTheme="majorBidi" w:hAnsiTheme="majorBidi" w:cstheme="majorBidi"/>
          <w:color w:val="131413"/>
          <w:sz w:val="24"/>
          <w:szCs w:val="24"/>
        </w:rPr>
        <w:t>0 healthy subjects as a control group. The level of AWT1 expression was assessed using RQ-PCR.</w:t>
      </w:r>
    </w:p>
    <w:p w:rsidR="00AF66BE" w:rsidRPr="00B25365" w:rsidRDefault="00916E47" w:rsidP="00761594">
      <w:pPr>
        <w:autoSpaceDE w:val="0"/>
        <w:autoSpaceDN w:val="0"/>
        <w:adjustRightInd w:val="0"/>
        <w:spacing w:after="0"/>
        <w:jc w:val="both"/>
        <w:rPr>
          <w:rFonts w:asciiTheme="majorBidi" w:hAnsiTheme="majorBidi" w:cstheme="majorBidi"/>
          <w:color w:val="131413"/>
          <w:sz w:val="24"/>
          <w:szCs w:val="24"/>
        </w:rPr>
      </w:pPr>
      <w:r w:rsidRPr="00B25365">
        <w:rPr>
          <w:rFonts w:asciiTheme="majorBidi" w:hAnsiTheme="majorBidi" w:cstheme="majorBidi"/>
          <w:b/>
          <w:bCs/>
          <w:color w:val="131413"/>
          <w:sz w:val="24"/>
          <w:szCs w:val="24"/>
        </w:rPr>
        <w:t>RESULTS:</w:t>
      </w:r>
      <w:r w:rsidRPr="00B25365">
        <w:rPr>
          <w:rFonts w:asciiTheme="majorBidi" w:hAnsiTheme="majorBidi" w:cstheme="majorBidi"/>
          <w:color w:val="131413"/>
          <w:sz w:val="24"/>
          <w:szCs w:val="24"/>
        </w:rPr>
        <w:t xml:space="preserve"> </w:t>
      </w:r>
      <w:r w:rsidR="00AF66BE" w:rsidRPr="00B25365">
        <w:rPr>
          <w:rFonts w:asciiTheme="majorBidi" w:hAnsiTheme="majorBidi" w:cstheme="majorBidi"/>
          <w:color w:val="131413"/>
          <w:sz w:val="24"/>
          <w:szCs w:val="24"/>
        </w:rPr>
        <w:t>AWT1 expression level was significantly higher in the AML patients in comparison to the control group (</w:t>
      </w:r>
      <w:r w:rsidR="00761594" w:rsidRPr="00B25365">
        <w:rPr>
          <w:rFonts w:asciiTheme="majorBidi" w:hAnsiTheme="majorBidi" w:cstheme="majorBidi"/>
          <w:color w:val="131413"/>
          <w:sz w:val="24"/>
          <w:szCs w:val="24"/>
        </w:rPr>
        <w:t>P˂0.001</w:t>
      </w:r>
      <w:r w:rsidR="00AF66BE" w:rsidRPr="00B25365">
        <w:rPr>
          <w:rFonts w:asciiTheme="majorBidi" w:hAnsiTheme="majorBidi" w:cstheme="majorBidi"/>
          <w:color w:val="131413"/>
          <w:sz w:val="24"/>
          <w:szCs w:val="24"/>
        </w:rPr>
        <w:t xml:space="preserve">) and it was surprising to find robust hypermethylation of the AWT1 promoter in AML patients compared to the controls </w:t>
      </w:r>
      <w:r w:rsidR="00761594" w:rsidRPr="00B25365">
        <w:rPr>
          <w:rFonts w:asciiTheme="majorBidi" w:hAnsiTheme="majorBidi" w:cstheme="majorBidi"/>
          <w:color w:val="131413"/>
          <w:sz w:val="24"/>
          <w:szCs w:val="24"/>
        </w:rPr>
        <w:t>(P˂0.001</w:t>
      </w:r>
      <w:r w:rsidR="00AF66BE" w:rsidRPr="00B25365">
        <w:rPr>
          <w:rFonts w:asciiTheme="majorBidi" w:hAnsiTheme="majorBidi" w:cstheme="majorBidi"/>
          <w:color w:val="131413"/>
          <w:sz w:val="24"/>
          <w:szCs w:val="24"/>
        </w:rPr>
        <w:t xml:space="preserve">).  </w:t>
      </w:r>
      <w:r w:rsidR="00CC2D48" w:rsidRPr="00B25365">
        <w:rPr>
          <w:rFonts w:asciiTheme="majorBidi" w:hAnsiTheme="majorBidi" w:cstheme="majorBidi"/>
          <w:color w:val="131413"/>
          <w:sz w:val="24"/>
          <w:szCs w:val="24"/>
        </w:rPr>
        <w:t>A statistically significant negative correlation between AWT1 expression and methylation le</w:t>
      </w:r>
      <w:r w:rsidR="005C15CA" w:rsidRPr="00B25365">
        <w:rPr>
          <w:rFonts w:asciiTheme="majorBidi" w:hAnsiTheme="majorBidi" w:cstheme="majorBidi"/>
          <w:color w:val="131413"/>
          <w:sz w:val="24"/>
          <w:szCs w:val="24"/>
        </w:rPr>
        <w:t>vel was found (r=</w:t>
      </w:r>
      <w:r w:rsidR="00761594" w:rsidRPr="00B25365">
        <w:rPr>
          <w:rFonts w:asciiTheme="majorBidi" w:hAnsiTheme="majorBidi" w:cstheme="majorBidi"/>
          <w:color w:val="131413"/>
          <w:sz w:val="24"/>
          <w:szCs w:val="24"/>
        </w:rPr>
        <w:t>0.67, P˂0.001</w:t>
      </w:r>
      <w:r w:rsidR="005C15CA" w:rsidRPr="00B25365">
        <w:rPr>
          <w:rFonts w:asciiTheme="majorBidi" w:hAnsiTheme="majorBidi" w:cstheme="majorBidi"/>
          <w:color w:val="131413"/>
          <w:sz w:val="24"/>
          <w:szCs w:val="24"/>
        </w:rPr>
        <w:t xml:space="preserve">). At a cutoff value of 45.2% </w:t>
      </w:r>
      <w:r w:rsidR="00AF66BE" w:rsidRPr="00B25365">
        <w:rPr>
          <w:rFonts w:asciiTheme="majorBidi" w:hAnsiTheme="majorBidi" w:cstheme="majorBidi"/>
          <w:color w:val="131413"/>
          <w:sz w:val="24"/>
          <w:szCs w:val="24"/>
        </w:rPr>
        <w:t>AWT1 promoter hypermethylation was found to be a highly s</w:t>
      </w:r>
      <w:r w:rsidRPr="00B25365">
        <w:rPr>
          <w:rFonts w:asciiTheme="majorBidi" w:hAnsiTheme="majorBidi" w:cstheme="majorBidi"/>
          <w:color w:val="131413"/>
          <w:sz w:val="24"/>
          <w:szCs w:val="24"/>
        </w:rPr>
        <w:t>pecific marker for AML</w:t>
      </w:r>
      <w:r w:rsidR="00AF66BE" w:rsidRPr="00B25365">
        <w:rPr>
          <w:rFonts w:asciiTheme="majorBidi" w:hAnsiTheme="majorBidi" w:cstheme="majorBidi"/>
          <w:color w:val="131413"/>
          <w:sz w:val="24"/>
          <w:szCs w:val="24"/>
        </w:rPr>
        <w:t xml:space="preserve"> (specificity </w:t>
      </w:r>
      <w:r w:rsidR="00761594" w:rsidRPr="00B25365">
        <w:rPr>
          <w:rFonts w:asciiTheme="majorBidi" w:hAnsiTheme="majorBidi" w:cstheme="majorBidi"/>
          <w:color w:val="131413"/>
          <w:sz w:val="24"/>
          <w:szCs w:val="24"/>
        </w:rPr>
        <w:t xml:space="preserve">95% </w:t>
      </w:r>
      <w:r w:rsidR="00AF66BE" w:rsidRPr="00B25365">
        <w:rPr>
          <w:rFonts w:asciiTheme="majorBidi" w:hAnsiTheme="majorBidi" w:cstheme="majorBidi"/>
          <w:color w:val="131413"/>
          <w:sz w:val="24"/>
          <w:szCs w:val="24"/>
        </w:rPr>
        <w:t xml:space="preserve">and sensitivity </w:t>
      </w:r>
      <w:r w:rsidR="00761594" w:rsidRPr="00B25365">
        <w:rPr>
          <w:rFonts w:asciiTheme="majorBidi" w:hAnsiTheme="majorBidi" w:cstheme="majorBidi"/>
          <w:color w:val="131413"/>
          <w:sz w:val="24"/>
          <w:szCs w:val="24"/>
        </w:rPr>
        <w:t>97.5</w:t>
      </w:r>
      <w:r w:rsidR="00AF66BE" w:rsidRPr="00B25365">
        <w:rPr>
          <w:rFonts w:asciiTheme="majorBidi" w:hAnsiTheme="majorBidi" w:cstheme="majorBidi"/>
          <w:color w:val="131413"/>
          <w:sz w:val="24"/>
          <w:szCs w:val="24"/>
        </w:rPr>
        <w:t>%)</w:t>
      </w:r>
    </w:p>
    <w:p w:rsidR="00DA1DED" w:rsidRPr="00B25365" w:rsidRDefault="00916E47" w:rsidP="000D223F">
      <w:pPr>
        <w:autoSpaceDE w:val="0"/>
        <w:autoSpaceDN w:val="0"/>
        <w:adjustRightInd w:val="0"/>
        <w:spacing w:after="0"/>
        <w:jc w:val="both"/>
        <w:rPr>
          <w:rFonts w:asciiTheme="majorBidi" w:hAnsiTheme="majorBidi" w:cstheme="majorBidi"/>
          <w:color w:val="131413"/>
          <w:sz w:val="24"/>
          <w:szCs w:val="24"/>
        </w:rPr>
      </w:pPr>
      <w:r w:rsidRPr="00B25365">
        <w:rPr>
          <w:rFonts w:asciiTheme="majorBidi" w:hAnsiTheme="majorBidi" w:cstheme="majorBidi"/>
          <w:b/>
          <w:bCs/>
          <w:color w:val="131413"/>
          <w:sz w:val="24"/>
          <w:szCs w:val="24"/>
        </w:rPr>
        <w:t>CONCLUSION</w:t>
      </w:r>
      <w:r w:rsidR="00AF66BE" w:rsidRPr="00B25365">
        <w:rPr>
          <w:rFonts w:asciiTheme="majorBidi" w:hAnsiTheme="majorBidi" w:cstheme="majorBidi"/>
          <w:b/>
          <w:bCs/>
          <w:color w:val="131413"/>
          <w:sz w:val="24"/>
          <w:szCs w:val="24"/>
        </w:rPr>
        <w:t>:</w:t>
      </w:r>
      <w:r w:rsidR="00AF66BE" w:rsidRPr="00B25365">
        <w:rPr>
          <w:rFonts w:asciiTheme="majorBidi" w:hAnsiTheme="majorBidi" w:cstheme="majorBidi"/>
          <w:color w:val="131413"/>
          <w:sz w:val="24"/>
          <w:szCs w:val="24"/>
        </w:rPr>
        <w:t xml:space="preserve"> We described an expression methylation signature of the AWT1 that are promising markers for diagnosis and MRD assessment </w:t>
      </w:r>
      <w:r w:rsidRPr="00B25365">
        <w:rPr>
          <w:rFonts w:asciiTheme="majorBidi" w:hAnsiTheme="majorBidi" w:cstheme="majorBidi"/>
          <w:color w:val="131413"/>
          <w:sz w:val="24"/>
          <w:szCs w:val="24"/>
        </w:rPr>
        <w:t xml:space="preserve">in </w:t>
      </w:r>
      <w:r w:rsidR="00AF66BE" w:rsidRPr="00B25365">
        <w:rPr>
          <w:rFonts w:asciiTheme="majorBidi" w:hAnsiTheme="majorBidi" w:cstheme="majorBidi"/>
          <w:color w:val="131413"/>
          <w:sz w:val="24"/>
          <w:szCs w:val="24"/>
        </w:rPr>
        <w:t>AML</w:t>
      </w:r>
      <w:r w:rsidR="000D223F" w:rsidRPr="00B25365">
        <w:rPr>
          <w:rFonts w:asciiTheme="majorBidi" w:hAnsiTheme="majorBidi" w:cstheme="majorBidi"/>
          <w:color w:val="131413"/>
          <w:sz w:val="24"/>
          <w:szCs w:val="24"/>
        </w:rPr>
        <w:t>.</w:t>
      </w:r>
    </w:p>
    <w:p w:rsidR="00C653DC" w:rsidRDefault="00C653DC" w:rsidP="00B25365">
      <w:pPr>
        <w:pStyle w:val="ListParagraph"/>
        <w:spacing w:line="240" w:lineRule="auto"/>
        <w:ind w:left="0"/>
        <w:rPr>
          <w:rFonts w:asciiTheme="majorBidi" w:eastAsia="Times New Roman" w:hAnsiTheme="majorBidi" w:cstheme="majorBidi"/>
          <w:b/>
          <w:bCs/>
          <w:sz w:val="32"/>
          <w:szCs w:val="32"/>
        </w:rPr>
      </w:pPr>
    </w:p>
    <w:p w:rsidR="000210E6" w:rsidRPr="00C653DC" w:rsidRDefault="000210E6" w:rsidP="000210E6">
      <w:pPr>
        <w:pStyle w:val="BodyText"/>
        <w:spacing w:after="220" w:line="276" w:lineRule="auto"/>
        <w:jc w:val="both"/>
        <w:rPr>
          <w:b/>
          <w:bCs/>
          <w:noProof/>
        </w:rPr>
      </w:pPr>
      <w:r w:rsidRPr="00C653DC">
        <w:rPr>
          <w:b/>
          <w:bCs/>
          <w:noProof/>
        </w:rPr>
        <w:t>Biography:</w:t>
      </w:r>
    </w:p>
    <w:p w:rsidR="000210E6" w:rsidRPr="00755660" w:rsidRDefault="000210E6" w:rsidP="000210E6">
      <w:pPr>
        <w:pStyle w:val="BodyText"/>
        <w:spacing w:after="220" w:line="276" w:lineRule="auto"/>
        <w:jc w:val="both"/>
        <w:rPr>
          <w:rFonts w:asciiTheme="majorBidi" w:hAnsiTheme="majorBidi" w:cstheme="majorBidi"/>
          <w:szCs w:val="24"/>
        </w:rPr>
      </w:pPr>
      <w:r w:rsidRPr="00755660">
        <w:rPr>
          <w:rFonts w:asciiTheme="majorBidi" w:hAnsiTheme="majorBidi" w:cstheme="majorBidi"/>
          <w:szCs w:val="24"/>
        </w:rPr>
        <w:t>Doctor Re</w:t>
      </w:r>
      <w:r>
        <w:rPr>
          <w:rFonts w:asciiTheme="majorBidi" w:hAnsiTheme="majorBidi" w:cstheme="majorBidi"/>
          <w:szCs w:val="24"/>
        </w:rPr>
        <w:t xml:space="preserve">ham Abdel Haleem Aboelwafa, is </w:t>
      </w:r>
      <w:r w:rsidRPr="00755660">
        <w:rPr>
          <w:rFonts w:asciiTheme="majorBidi" w:hAnsiTheme="majorBidi" w:cstheme="majorBidi"/>
          <w:szCs w:val="24"/>
        </w:rPr>
        <w:t>a Lecturer of Clinica</w:t>
      </w:r>
      <w:r>
        <w:rPr>
          <w:rFonts w:asciiTheme="majorBidi" w:hAnsiTheme="majorBidi" w:cstheme="majorBidi"/>
          <w:szCs w:val="24"/>
        </w:rPr>
        <w:t xml:space="preserve">l Pathology, </w:t>
      </w:r>
      <w:r w:rsidRPr="00755660">
        <w:rPr>
          <w:rFonts w:asciiTheme="majorBidi" w:hAnsiTheme="majorBidi" w:cstheme="majorBidi"/>
          <w:szCs w:val="24"/>
        </w:rPr>
        <w:t xml:space="preserve">Faculty of Medicine, Alexandria University, Egypt. </w:t>
      </w:r>
      <w:r>
        <w:rPr>
          <w:rFonts w:asciiTheme="majorBidi" w:hAnsiTheme="majorBidi" w:cstheme="majorBidi"/>
          <w:szCs w:val="24"/>
        </w:rPr>
        <w:t xml:space="preserve">She completed her MD at the age of 33. </w:t>
      </w:r>
      <w:r w:rsidRPr="00755660">
        <w:rPr>
          <w:rFonts w:asciiTheme="majorBidi" w:hAnsiTheme="majorBidi" w:cstheme="majorBidi"/>
          <w:szCs w:val="24"/>
        </w:rPr>
        <w:t xml:space="preserve">She has expertise in research, teaching and administration both in hospital and education institution. She </w:t>
      </w:r>
      <w:r w:rsidRPr="00755660">
        <w:rPr>
          <w:rFonts w:asciiTheme="majorBidi" w:hAnsiTheme="majorBidi" w:cstheme="majorBidi"/>
          <w:szCs w:val="24"/>
        </w:rPr>
        <w:lastRenderedPageBreak/>
        <w:t>is expert in Molecular Techniques: PCR (convention</w:t>
      </w:r>
      <w:r>
        <w:rPr>
          <w:rFonts w:asciiTheme="majorBidi" w:hAnsiTheme="majorBidi" w:cstheme="majorBidi"/>
          <w:szCs w:val="24"/>
        </w:rPr>
        <w:t>al, and Real time PCR),</w:t>
      </w:r>
      <w:r w:rsidRPr="00755660">
        <w:rPr>
          <w:rFonts w:asciiTheme="majorBidi" w:hAnsiTheme="majorBidi" w:cstheme="majorBidi"/>
          <w:szCs w:val="24"/>
        </w:rPr>
        <w:t xml:space="preserve"> microarray, </w:t>
      </w:r>
      <w:r w:rsidRPr="00755660">
        <w:rPr>
          <w:rStyle w:val="Emphasis"/>
          <w:rFonts w:asciiTheme="majorBidi" w:hAnsiTheme="majorBidi" w:cstheme="majorBidi"/>
          <w:szCs w:val="24"/>
        </w:rPr>
        <w:t>Pyrosequencing and NGS</w:t>
      </w:r>
      <w:r w:rsidRPr="00755660">
        <w:rPr>
          <w:rFonts w:asciiTheme="majorBidi" w:hAnsiTheme="majorBidi" w:cstheme="majorBidi"/>
          <w:szCs w:val="24"/>
        </w:rPr>
        <w:t xml:space="preserve"> in addition to FISH techniques including Prenatal Genetic Diagnosis (PGD) and Flow cytometric mmunophenotyping of different types of hematologic malignancies. She has several international publications in the field of molecular biology, genetics and epigenetics.</w:t>
      </w:r>
    </w:p>
    <w:p w:rsidR="000210E6" w:rsidRDefault="000210E6" w:rsidP="000210E6">
      <w:pPr>
        <w:autoSpaceDE w:val="0"/>
        <w:autoSpaceDN w:val="0"/>
        <w:adjustRightInd w:val="0"/>
        <w:rPr>
          <w:rFonts w:asciiTheme="majorBidi" w:hAnsiTheme="majorBidi" w:cstheme="majorBidi"/>
          <w:b/>
          <w:sz w:val="24"/>
          <w:szCs w:val="24"/>
          <w:lang w:val="en-NZ"/>
        </w:rPr>
      </w:pPr>
      <w:r w:rsidRPr="00356F59">
        <w:rPr>
          <w:rFonts w:asciiTheme="majorBidi" w:hAnsiTheme="majorBidi" w:cstheme="majorBidi"/>
          <w:b/>
          <w:sz w:val="24"/>
          <w:szCs w:val="24"/>
          <w:lang w:val="en-NZ"/>
        </w:rPr>
        <w:t xml:space="preserve">Presenting author details </w:t>
      </w:r>
    </w:p>
    <w:p w:rsidR="000210E6" w:rsidRDefault="000210E6" w:rsidP="000210E6">
      <w:pPr>
        <w:autoSpaceDE w:val="0"/>
        <w:autoSpaceDN w:val="0"/>
        <w:adjustRightInd w:val="0"/>
        <w:rPr>
          <w:rFonts w:asciiTheme="majorBidi" w:hAnsiTheme="majorBidi" w:cstheme="majorBidi"/>
          <w:b/>
          <w:sz w:val="24"/>
          <w:szCs w:val="24"/>
          <w:lang w:val="en-NZ"/>
        </w:rPr>
      </w:pPr>
      <w:r w:rsidRPr="00356F59">
        <w:rPr>
          <w:rFonts w:asciiTheme="majorBidi" w:hAnsiTheme="majorBidi" w:cstheme="majorBidi"/>
          <w:b/>
          <w:sz w:val="24"/>
          <w:szCs w:val="24"/>
          <w:lang w:val="en-NZ"/>
        </w:rPr>
        <w:br/>
      </w:r>
      <w:r w:rsidRPr="00356F59">
        <w:rPr>
          <w:rFonts w:asciiTheme="majorBidi" w:hAnsiTheme="majorBidi" w:cstheme="majorBidi"/>
          <w:sz w:val="24"/>
          <w:szCs w:val="24"/>
          <w:lang w:val="en-NZ"/>
        </w:rPr>
        <w:t xml:space="preserve">Full name: </w:t>
      </w:r>
      <w:r w:rsidRPr="00356F59">
        <w:rPr>
          <w:rFonts w:asciiTheme="majorBidi" w:hAnsiTheme="majorBidi" w:cstheme="majorBidi"/>
          <w:sz w:val="24"/>
          <w:szCs w:val="24"/>
        </w:rPr>
        <w:t>Reham Abdel Haleem Aboelwafa</w:t>
      </w:r>
      <w:r w:rsidRPr="00356F59">
        <w:rPr>
          <w:rFonts w:asciiTheme="majorBidi" w:hAnsiTheme="majorBidi" w:cstheme="majorBidi"/>
          <w:sz w:val="24"/>
          <w:szCs w:val="24"/>
          <w:lang w:val="en-NZ"/>
        </w:rPr>
        <w:br/>
        <w:t>Contact number:00201002413832</w:t>
      </w:r>
      <w:r w:rsidRPr="00356F59">
        <w:rPr>
          <w:rFonts w:asciiTheme="majorBidi" w:hAnsiTheme="majorBidi" w:cstheme="majorBidi"/>
          <w:sz w:val="24"/>
          <w:szCs w:val="24"/>
          <w:lang w:val="en-NZ"/>
        </w:rPr>
        <w:br/>
        <w:t>Twitter account: reham halem</w:t>
      </w:r>
      <w:r w:rsidRPr="00356F59">
        <w:rPr>
          <w:rFonts w:asciiTheme="majorBidi" w:hAnsiTheme="majorBidi" w:cstheme="majorBidi"/>
          <w:sz w:val="24"/>
          <w:szCs w:val="24"/>
          <w:lang w:val="en-NZ"/>
        </w:rPr>
        <w:br/>
        <w:t>Linked In account: Reham Aboelwafa</w:t>
      </w:r>
    </w:p>
    <w:p w:rsidR="003D19FC" w:rsidRDefault="000210E6" w:rsidP="003D19FC">
      <w:pPr>
        <w:pStyle w:val="ListParagraph"/>
        <w:spacing w:line="240" w:lineRule="auto"/>
        <w:ind w:left="0"/>
        <w:rPr>
          <w:rFonts w:asciiTheme="majorBidi" w:hAnsiTheme="majorBidi" w:cstheme="majorBidi"/>
          <w:sz w:val="24"/>
          <w:szCs w:val="24"/>
          <w:lang w:val="en-NZ"/>
        </w:rPr>
      </w:pPr>
      <w:r w:rsidRPr="00356F59">
        <w:rPr>
          <w:rFonts w:asciiTheme="majorBidi" w:hAnsiTheme="majorBidi" w:cstheme="majorBidi"/>
          <w:sz w:val="24"/>
          <w:szCs w:val="24"/>
          <w:lang w:val="en-NZ"/>
        </w:rPr>
        <w:t xml:space="preserve">Session name: </w:t>
      </w:r>
      <w:r w:rsidR="003D19FC">
        <w:rPr>
          <w:rFonts w:asciiTheme="majorBidi" w:hAnsiTheme="majorBidi" w:cstheme="majorBidi"/>
          <w:sz w:val="24"/>
          <w:szCs w:val="24"/>
          <w:lang w:val="en-NZ"/>
        </w:rPr>
        <w:t>Molecular diagnostics</w:t>
      </w:r>
    </w:p>
    <w:p w:rsidR="00F1097B" w:rsidRPr="000210E6" w:rsidRDefault="000210E6" w:rsidP="003D19FC">
      <w:pPr>
        <w:pStyle w:val="ListParagraph"/>
        <w:spacing w:line="240" w:lineRule="auto"/>
        <w:ind w:left="0"/>
        <w:rPr>
          <w:rFonts w:asciiTheme="majorBidi" w:hAnsiTheme="majorBidi" w:cstheme="majorBidi"/>
          <w:color w:val="131413"/>
          <w:sz w:val="28"/>
          <w:szCs w:val="28"/>
          <w:lang w:val="en-NZ"/>
        </w:rPr>
      </w:pPr>
      <w:bookmarkStart w:id="0" w:name="_GoBack"/>
      <w:bookmarkEnd w:id="0"/>
      <w:r w:rsidRPr="00356F59">
        <w:rPr>
          <w:rFonts w:asciiTheme="majorBidi" w:hAnsiTheme="majorBidi" w:cstheme="majorBidi"/>
          <w:sz w:val="24"/>
          <w:szCs w:val="24"/>
          <w:lang w:val="en-NZ"/>
        </w:rPr>
        <w:t>Category: Poster presentation</w:t>
      </w:r>
      <w:r w:rsidRPr="00356F59">
        <w:rPr>
          <w:rFonts w:asciiTheme="majorBidi" w:hAnsiTheme="majorBidi" w:cstheme="majorBidi"/>
          <w:sz w:val="24"/>
          <w:szCs w:val="24"/>
          <w:lang w:val="en-NZ"/>
        </w:rPr>
        <w:br/>
      </w:r>
    </w:p>
    <w:sectPr w:rsidR="00F1097B" w:rsidRPr="000210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473B4"/>
    <w:multiLevelType w:val="hybridMultilevel"/>
    <w:tmpl w:val="9244B654"/>
    <w:lvl w:ilvl="0" w:tplc="50E82F3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6F4374"/>
    <w:multiLevelType w:val="hybridMultilevel"/>
    <w:tmpl w:val="8D84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37BDC"/>
    <w:multiLevelType w:val="hybridMultilevel"/>
    <w:tmpl w:val="1F40399C"/>
    <w:lvl w:ilvl="0" w:tplc="9E468E92">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2C35717"/>
    <w:multiLevelType w:val="hybridMultilevel"/>
    <w:tmpl w:val="8AF6A9D0"/>
    <w:lvl w:ilvl="0" w:tplc="D1FC2C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AB6A9A"/>
    <w:multiLevelType w:val="hybridMultilevel"/>
    <w:tmpl w:val="8E5CFBEE"/>
    <w:lvl w:ilvl="0" w:tplc="D6587FA6">
      <w:start w:val="1"/>
      <w:numFmt w:val="decimal"/>
      <w:lvlText w:val="%1."/>
      <w:lvlJc w:val="left"/>
      <w:pPr>
        <w:ind w:left="720" w:hanging="360"/>
      </w:pPr>
      <w:rPr>
        <w:rFonts w:ascii="Times New Roman" w:eastAsiaTheme="minorEastAsia" w:hAnsi="Times New Roman" w:cs="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081"/>
    <w:rsid w:val="000210E6"/>
    <w:rsid w:val="00071FA3"/>
    <w:rsid w:val="000D223F"/>
    <w:rsid w:val="002E4006"/>
    <w:rsid w:val="003D19FC"/>
    <w:rsid w:val="003D3A9F"/>
    <w:rsid w:val="004420BC"/>
    <w:rsid w:val="00527AA0"/>
    <w:rsid w:val="005C15CA"/>
    <w:rsid w:val="00670F9D"/>
    <w:rsid w:val="006F2397"/>
    <w:rsid w:val="00700C8A"/>
    <w:rsid w:val="00761594"/>
    <w:rsid w:val="007F460F"/>
    <w:rsid w:val="00916E47"/>
    <w:rsid w:val="00A3065A"/>
    <w:rsid w:val="00AB5081"/>
    <w:rsid w:val="00AF66BE"/>
    <w:rsid w:val="00B25365"/>
    <w:rsid w:val="00B64782"/>
    <w:rsid w:val="00C653DC"/>
    <w:rsid w:val="00C759BF"/>
    <w:rsid w:val="00CC2D48"/>
    <w:rsid w:val="00DA1DED"/>
    <w:rsid w:val="00F1097B"/>
    <w:rsid w:val="00F22AB4"/>
    <w:rsid w:val="00F47D25"/>
    <w:rsid w:val="00FA3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9BF"/>
    <w:rPr>
      <w:rFonts w:ascii="Calibri" w:eastAsia="Times New Roman" w:hAnsi="Calibri" w:cs="Arial"/>
    </w:rPr>
  </w:style>
  <w:style w:type="paragraph" w:styleId="Heading1">
    <w:name w:val="heading 1"/>
    <w:basedOn w:val="Normal"/>
    <w:next w:val="Normal"/>
    <w:link w:val="Heading1Char"/>
    <w:uiPriority w:val="9"/>
    <w:qFormat/>
    <w:rsid w:val="00F47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BF"/>
    <w:pPr>
      <w:ind w:left="720"/>
      <w:contextualSpacing/>
    </w:pPr>
    <w:rPr>
      <w:rFonts w:asciiTheme="minorHAnsi" w:eastAsiaTheme="minorEastAsia" w:hAnsiTheme="minorHAnsi" w:cstheme="minorBidi"/>
    </w:rPr>
  </w:style>
  <w:style w:type="character" w:customStyle="1" w:styleId="Heading1Char">
    <w:name w:val="Heading 1 Char"/>
    <w:basedOn w:val="DefaultParagraphFont"/>
    <w:link w:val="Heading1"/>
    <w:uiPriority w:val="9"/>
    <w:rsid w:val="00F47D25"/>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527AA0"/>
    <w:pPr>
      <w:spacing w:after="120" w:line="240" w:lineRule="auto"/>
    </w:pPr>
    <w:rPr>
      <w:rFonts w:ascii="Times New Roman" w:eastAsia="Trebuchet MS" w:hAnsi="Times New Roman" w:cs="Trebuchet MS"/>
      <w:sz w:val="24"/>
    </w:rPr>
  </w:style>
  <w:style w:type="character" w:customStyle="1" w:styleId="BodyTextChar">
    <w:name w:val="Body Text Char"/>
    <w:basedOn w:val="DefaultParagraphFont"/>
    <w:link w:val="BodyText"/>
    <w:uiPriority w:val="99"/>
    <w:semiHidden/>
    <w:rsid w:val="00527AA0"/>
    <w:rPr>
      <w:rFonts w:ascii="Times New Roman" w:eastAsia="Trebuchet MS" w:hAnsi="Times New Roman" w:cs="Trebuchet MS"/>
      <w:sz w:val="24"/>
    </w:rPr>
  </w:style>
  <w:style w:type="character" w:styleId="Emphasis">
    <w:name w:val="Emphasis"/>
    <w:basedOn w:val="DefaultParagraphFont"/>
    <w:uiPriority w:val="20"/>
    <w:qFormat/>
    <w:rsid w:val="00527AA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9BF"/>
    <w:rPr>
      <w:rFonts w:ascii="Calibri" w:eastAsia="Times New Roman" w:hAnsi="Calibri" w:cs="Arial"/>
    </w:rPr>
  </w:style>
  <w:style w:type="paragraph" w:styleId="Heading1">
    <w:name w:val="heading 1"/>
    <w:basedOn w:val="Normal"/>
    <w:next w:val="Normal"/>
    <w:link w:val="Heading1Char"/>
    <w:uiPriority w:val="9"/>
    <w:qFormat/>
    <w:rsid w:val="00F47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BF"/>
    <w:pPr>
      <w:ind w:left="720"/>
      <w:contextualSpacing/>
    </w:pPr>
    <w:rPr>
      <w:rFonts w:asciiTheme="minorHAnsi" w:eastAsiaTheme="minorEastAsia" w:hAnsiTheme="minorHAnsi" w:cstheme="minorBidi"/>
    </w:rPr>
  </w:style>
  <w:style w:type="character" w:customStyle="1" w:styleId="Heading1Char">
    <w:name w:val="Heading 1 Char"/>
    <w:basedOn w:val="DefaultParagraphFont"/>
    <w:link w:val="Heading1"/>
    <w:uiPriority w:val="9"/>
    <w:rsid w:val="00F47D25"/>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527AA0"/>
    <w:pPr>
      <w:spacing w:after="120" w:line="240" w:lineRule="auto"/>
    </w:pPr>
    <w:rPr>
      <w:rFonts w:ascii="Times New Roman" w:eastAsia="Trebuchet MS" w:hAnsi="Times New Roman" w:cs="Trebuchet MS"/>
      <w:sz w:val="24"/>
    </w:rPr>
  </w:style>
  <w:style w:type="character" w:customStyle="1" w:styleId="BodyTextChar">
    <w:name w:val="Body Text Char"/>
    <w:basedOn w:val="DefaultParagraphFont"/>
    <w:link w:val="BodyText"/>
    <w:uiPriority w:val="99"/>
    <w:semiHidden/>
    <w:rsid w:val="00527AA0"/>
    <w:rPr>
      <w:rFonts w:ascii="Times New Roman" w:eastAsia="Trebuchet MS" w:hAnsi="Times New Roman" w:cs="Trebuchet MS"/>
      <w:sz w:val="24"/>
    </w:rPr>
  </w:style>
  <w:style w:type="character" w:styleId="Emphasis">
    <w:name w:val="Emphasis"/>
    <w:basedOn w:val="DefaultParagraphFont"/>
    <w:uiPriority w:val="20"/>
    <w:qFormat/>
    <w:rsid w:val="00527A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2016-11-18T23:26:00Z</dcterms:created>
  <dcterms:modified xsi:type="dcterms:W3CDTF">2016-12-01T09:53:00Z</dcterms:modified>
</cp:coreProperties>
</file>