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69B039" w14:textId="01238084" w:rsidR="00903F24" w:rsidRPr="000B0C20" w:rsidRDefault="00CA56D2" w:rsidP="000B0C2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B0C20">
        <w:rPr>
          <w:rFonts w:ascii="Times New Roman" w:hAnsi="Times New Roman" w:cs="Times New Roman"/>
          <w:sz w:val="24"/>
          <w:szCs w:val="24"/>
        </w:rPr>
        <w:t>CRISPR-associated catalytically inactive dCas9 fused to a</w:t>
      </w:r>
      <w:r w:rsidR="000B0C20" w:rsidRPr="000B0C20">
        <w:rPr>
          <w:rFonts w:ascii="Times New Roman" w:hAnsi="Times New Roman" w:cs="Times New Roman"/>
          <w:sz w:val="24"/>
          <w:szCs w:val="24"/>
        </w:rPr>
        <w:t>n effector domain (dCas9-E) has</w:t>
      </w:r>
      <w:r w:rsidRPr="000B0C20">
        <w:rPr>
          <w:rFonts w:ascii="Times New Roman" w:hAnsi="Times New Roman" w:cs="Times New Roman"/>
          <w:sz w:val="24"/>
          <w:szCs w:val="24"/>
        </w:rPr>
        <w:t xml:space="preserve"> developed recently as a powerful tool to modulate endogenous transcription and to interrogate mechanisms</w:t>
      </w:r>
      <w:r w:rsidR="000B0C20" w:rsidRPr="000B0C20">
        <w:rPr>
          <w:rFonts w:ascii="Times New Roman" w:hAnsi="Times New Roman" w:cs="Times New Roman"/>
          <w:sz w:val="24"/>
          <w:szCs w:val="24"/>
        </w:rPr>
        <w:t xml:space="preserve"> in cell </w:t>
      </w:r>
      <w:proofErr w:type="spellStart"/>
      <w:r w:rsidR="000B0C20" w:rsidRPr="000B0C20">
        <w:rPr>
          <w:rFonts w:ascii="Times New Roman" w:hAnsi="Times New Roman" w:cs="Times New Roman"/>
          <w:sz w:val="24"/>
          <w:szCs w:val="24"/>
        </w:rPr>
        <w:t>signalling</w:t>
      </w:r>
      <w:proofErr w:type="spellEnd"/>
      <w:r w:rsidRPr="000B0C20">
        <w:rPr>
          <w:rFonts w:ascii="Times New Roman" w:hAnsi="Times New Roman" w:cs="Times New Roman"/>
          <w:sz w:val="24"/>
          <w:szCs w:val="24"/>
        </w:rPr>
        <w:t xml:space="preserve">. The latest evolution of dCas9-E, called </w:t>
      </w:r>
      <w:proofErr w:type="spellStart"/>
      <w:r w:rsidRPr="000B0C20">
        <w:rPr>
          <w:rFonts w:ascii="Times New Roman" w:hAnsi="Times New Roman" w:cs="Times New Roman"/>
          <w:sz w:val="24"/>
          <w:szCs w:val="24"/>
        </w:rPr>
        <w:t>dLITE</w:t>
      </w:r>
      <w:proofErr w:type="spellEnd"/>
      <w:r w:rsidRPr="000B0C20">
        <w:rPr>
          <w:rFonts w:ascii="Times New Roman" w:hAnsi="Times New Roman" w:cs="Times New Roman"/>
          <w:sz w:val="24"/>
          <w:szCs w:val="24"/>
        </w:rPr>
        <w:t xml:space="preserve"> (dCas9 Light Inducible Transcriptional Effectors), </w:t>
      </w:r>
      <w:r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an </w:t>
      </w:r>
      <w:proofErr w:type="spellStart"/>
      <w:r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optogenetic</w:t>
      </w:r>
      <w:proofErr w:type="spellEnd"/>
      <w:r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two hybrid system </w:t>
      </w:r>
      <w:r w:rsidR="005D79EF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modified in </w:t>
      </w:r>
      <w:proofErr w:type="spellStart"/>
      <w:r w:rsidR="005D79EF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Keele</w:t>
      </w:r>
      <w:proofErr w:type="spellEnd"/>
      <w:r w:rsidR="005D79EF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integrating the genetic engineering capacity of CRISPR with transcriptional modulation to switch a gene ‘ON’ or ‘OFF’</w:t>
      </w:r>
      <w:r w:rsidR="007B6F2B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only in response to </w:t>
      </w:r>
      <w:r w:rsidR="008224B3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non-invasive blue </w:t>
      </w:r>
      <w:r w:rsidR="007B6F2B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light</w:t>
      </w:r>
      <w:r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B6F2B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our experiments, we tested the efficiency of this system with an </w:t>
      </w:r>
      <w:proofErr w:type="spellStart"/>
      <w:r w:rsidR="007B6F2B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eGFP</w:t>
      </w:r>
      <w:proofErr w:type="spellEnd"/>
      <w:r w:rsidR="007B6F2B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79EF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(enhanced Green Fluorescence Protein) </w:t>
      </w:r>
      <w:r w:rsidR="007B6F2B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reporter to prove sensitivity of the light (470nm wavelength, pulsed at 0.7Hz frequency) to modulate GFP fluorescence in HEK</w:t>
      </w:r>
      <w:r w:rsidR="008224B3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293</w:t>
      </w:r>
      <w:r w:rsidR="007B6F2B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24B3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cells (Human embryonic kidney cells)</w:t>
      </w:r>
      <w:r w:rsidR="007B6F2B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Furthermore, using this reporter, we assessed the spatiotemporal characteristics of light induction </w:t>
      </w:r>
      <w:r w:rsidR="005D79EF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using a custom-designed high throughput (96 well) LED-based </w:t>
      </w:r>
      <w:proofErr w:type="spellStart"/>
      <w:r w:rsidR="005D79EF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optogenetic</w:t>
      </w:r>
      <w:proofErr w:type="spellEnd"/>
      <w:r w:rsidR="005D79EF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platform </w:t>
      </w:r>
      <w:r w:rsidR="007B6F2B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observed </w:t>
      </w:r>
      <w:r w:rsidR="005D79EF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="007B6F2B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24h exposure to pulsed light</w:t>
      </w:r>
      <w:r w:rsidR="005D79EF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sufficient to produce ~5 fold induction in GFP fluorescence, compared to unexposed cells. </w:t>
      </w:r>
      <w:r w:rsidR="00A152B2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The combination of CRISPR genetic engineering with tissue engineering is a relatively novel concept for biomedical research and we</w:t>
      </w:r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proceeded to test this concept by using 3D transfection</w:t>
      </w:r>
      <w:r w:rsidR="008224B3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HEK cells in combination with gelatine</w:t>
      </w:r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This was achieved by adding the modular components of the </w:t>
      </w:r>
      <w:proofErr w:type="spellStart"/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dLITE</w:t>
      </w:r>
      <w:proofErr w:type="spellEnd"/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system</w:t>
      </w:r>
      <w:r w:rsidR="008224B3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HEK cells</w:t>
      </w:r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sequentially in a </w:t>
      </w:r>
      <w:proofErr w:type="spellStart"/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gelatin</w:t>
      </w:r>
      <w:r w:rsidR="008224B3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proofErr w:type="spellEnd"/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biomatrix. While encapsulation of cells with </w:t>
      </w:r>
      <w:proofErr w:type="spellStart"/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dLITE</w:t>
      </w:r>
      <w:proofErr w:type="spellEnd"/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gelatine</w:t>
      </w:r>
      <w:proofErr w:type="spellEnd"/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(also called as reverse transfection) or with cells being pre-seeded </w:t>
      </w:r>
      <w:r w:rsidR="00B67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then transfected </w:t>
      </w:r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(invasion/forward transfection) produced modest fluorescence </w:t>
      </w:r>
      <w:r w:rsidR="008224B3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0B0C20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8224B3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range of gelatine concentrations </w:t>
      </w:r>
      <w:r w:rsidR="000B0C20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(0.1-2.0%) </w:t>
      </w:r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post 24 hours light exposure, it was the combination of encapsulation</w:t>
      </w:r>
      <w:r w:rsidR="008224B3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ith invasion strategy </w:t>
      </w:r>
      <w:r w:rsidR="008224B3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1B5EC1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0.1% gelatine that produced </w:t>
      </w:r>
      <w:r w:rsidR="008224B3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highest transfection efficiency as determined by imaging. This </w:t>
      </w:r>
      <w:r w:rsidR="000B0C20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result, for the first time, gives support to the theory of sequential gene induction, which currently relies on growth factors/small molecules but that can now be potentially replaced by CRISPR </w:t>
      </w:r>
      <w:proofErr w:type="spellStart"/>
      <w:r w:rsidR="000B0C20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optogenetics</w:t>
      </w:r>
      <w:proofErr w:type="spellEnd"/>
      <w:r w:rsidR="000B0C20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making this technique economical and attractive for </w:t>
      </w:r>
      <w:r w:rsidR="00B679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stem cell and </w:t>
      </w:r>
      <w:r w:rsidR="000B0C20" w:rsidRPr="000B0C20">
        <w:rPr>
          <w:rFonts w:ascii="Times New Roman" w:hAnsi="Times New Roman" w:cs="Times New Roman"/>
          <w:color w:val="000000" w:themeColor="text1"/>
          <w:sz w:val="24"/>
          <w:szCs w:val="24"/>
        </w:rPr>
        <w:t>biomedical applications.</w:t>
      </w:r>
    </w:p>
    <w:sectPr w:rsidR="00903F24" w:rsidRPr="000B0C20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24"/>
    <w:rsid w:val="000B0C20"/>
    <w:rsid w:val="001B5EC1"/>
    <w:rsid w:val="00266966"/>
    <w:rsid w:val="005D79EF"/>
    <w:rsid w:val="007B6F2B"/>
    <w:rsid w:val="008224B3"/>
    <w:rsid w:val="00903F24"/>
    <w:rsid w:val="00A152B2"/>
    <w:rsid w:val="00B67964"/>
    <w:rsid w:val="00CA56D2"/>
    <w:rsid w:val="00F5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E1AE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Vinoj George</dc:creator>
  <cp:lastModifiedBy>Mohammed Algahtani</cp:lastModifiedBy>
  <cp:revision>2</cp:revision>
  <dcterms:created xsi:type="dcterms:W3CDTF">2017-12-03T17:05:00Z</dcterms:created>
  <dcterms:modified xsi:type="dcterms:W3CDTF">2017-12-03T17:05:00Z</dcterms:modified>
</cp:coreProperties>
</file>