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10A" w:rsidRPr="00195CB5" w:rsidRDefault="002A2FCA" w:rsidP="0051210A">
      <w:pPr>
        <w:autoSpaceDE w:val="0"/>
        <w:autoSpaceDN w:val="0"/>
        <w:adjustRightInd w:val="0"/>
        <w:spacing w:after="0" w:line="240" w:lineRule="auto"/>
        <w:jc w:val="both"/>
        <w:rPr>
          <w:rFonts w:ascii="Minion" w:hAnsi="Minion" w:cs="Times New Roman"/>
          <w:b/>
          <w:bCs/>
          <w:color w:val="2E74B5" w:themeColor="accent1" w:themeShade="BF"/>
          <w:sz w:val="36"/>
          <w:szCs w:val="36"/>
          <w:lang w:bidi="fa-IR"/>
        </w:rPr>
      </w:pPr>
      <w:r w:rsidRPr="00195CB5">
        <w:rPr>
          <w:rFonts w:ascii="Minion" w:hAnsi="Minion" w:cs="Times New Roman"/>
          <w:b/>
          <w:bCs/>
          <w:color w:val="2E74B5" w:themeColor="accent1" w:themeShade="BF"/>
          <w:sz w:val="36"/>
          <w:szCs w:val="36"/>
          <w:lang w:bidi="fa-IR"/>
        </w:rPr>
        <w:t>Association of Vascular Endothelial Growth Factor (VEGF) Gene Polymorphisms and Expression with the risk of Endometriosis in Iran</w:t>
      </w:r>
    </w:p>
    <w:p w:rsidR="0051210A" w:rsidRDefault="0051210A" w:rsidP="0051210A">
      <w:pPr>
        <w:shd w:val="clear" w:color="auto" w:fill="FFFFFF"/>
        <w:spacing w:after="0" w:line="240" w:lineRule="auto"/>
        <w:jc w:val="both"/>
        <w:rPr>
          <w:rFonts w:asciiTheme="minorBidi" w:eastAsia="Times New Roman" w:hAnsiTheme="minorBidi" w:cstheme="minorBidi"/>
          <w:noProof/>
          <w:color w:val="000000"/>
          <w:sz w:val="18"/>
          <w:szCs w:val="18"/>
        </w:rPr>
      </w:pPr>
      <w:r w:rsidRPr="0019431A">
        <w:rPr>
          <w:rFonts w:asciiTheme="minorBidi" w:hAnsiTheme="minorBidi" w:cstheme="minorBidi"/>
          <w:sz w:val="18"/>
          <w:szCs w:val="18"/>
          <w:lang w:bidi="fa-IR"/>
        </w:rPr>
        <w:t xml:space="preserve">Negar Sarhangi, </w:t>
      </w:r>
      <w:r w:rsidRPr="0019431A">
        <w:rPr>
          <w:rFonts w:asciiTheme="minorBidi" w:eastAsia="Times New Roman" w:hAnsiTheme="minorBidi" w:cstheme="minorBidi"/>
          <w:noProof/>
          <w:color w:val="000000"/>
          <w:sz w:val="18"/>
          <w:szCs w:val="18"/>
        </w:rPr>
        <w:t>Endocrinology and Metabolism Research Centre, Tehran University of Medical Sciences, Iran</w:t>
      </w:r>
    </w:p>
    <w:p w:rsidR="0051210A" w:rsidRPr="0019431A" w:rsidRDefault="0051210A" w:rsidP="0051210A">
      <w:pPr>
        <w:shd w:val="clear" w:color="auto" w:fill="FFFFFF"/>
        <w:spacing w:after="0" w:line="240" w:lineRule="auto"/>
        <w:jc w:val="both"/>
        <w:rPr>
          <w:rFonts w:asciiTheme="minorBidi" w:eastAsia="Times New Roman" w:hAnsiTheme="minorBidi" w:cstheme="minorBidi"/>
          <w:noProof/>
          <w:color w:val="000000"/>
          <w:sz w:val="18"/>
          <w:szCs w:val="18"/>
        </w:rPr>
      </w:pPr>
      <w:r w:rsidRPr="0019431A">
        <w:rPr>
          <w:rFonts w:asciiTheme="minorBidi" w:hAnsiTheme="minorBidi" w:cstheme="minorBidi"/>
          <w:sz w:val="18"/>
          <w:szCs w:val="18"/>
          <w:lang w:bidi="fa-IR"/>
        </w:rPr>
        <w:t xml:space="preserve">Maryam Shahrabi Farahani, </w:t>
      </w:r>
      <w:r w:rsidRPr="0019431A">
        <w:rPr>
          <w:rFonts w:asciiTheme="minorBidi" w:eastAsia="Times New Roman" w:hAnsiTheme="minorBidi" w:cstheme="minorBidi"/>
          <w:noProof/>
          <w:color w:val="000000"/>
          <w:sz w:val="18"/>
          <w:szCs w:val="18"/>
        </w:rPr>
        <w:t>Endocrinology and Metabolism Research Centre, Tehran University of Medical Sciences, Iran</w:t>
      </w:r>
    </w:p>
    <w:p w:rsidR="0051210A" w:rsidRPr="0019431A" w:rsidRDefault="0051210A" w:rsidP="0051210A">
      <w:pPr>
        <w:spacing w:after="0" w:line="240" w:lineRule="auto"/>
        <w:jc w:val="both"/>
        <w:rPr>
          <w:rFonts w:asciiTheme="minorBidi" w:eastAsia="Times New Roman" w:hAnsiTheme="minorBidi" w:cstheme="minorBidi"/>
          <w:color w:val="000000" w:themeColor="text1"/>
          <w:sz w:val="18"/>
          <w:szCs w:val="18"/>
        </w:rPr>
      </w:pPr>
      <w:r w:rsidRPr="0019431A">
        <w:rPr>
          <w:rFonts w:asciiTheme="minorBidi" w:hAnsiTheme="minorBidi" w:cstheme="minorBidi"/>
          <w:sz w:val="18"/>
          <w:szCs w:val="18"/>
          <w:lang w:bidi="fa-IR"/>
        </w:rPr>
        <w:t xml:space="preserve">Fatemeh Khatami, </w:t>
      </w:r>
      <w:r w:rsidRPr="0019431A">
        <w:rPr>
          <w:rFonts w:asciiTheme="minorBidi" w:eastAsia="Times New Roman" w:hAnsiTheme="minorBidi" w:cstheme="minorBidi"/>
          <w:color w:val="000000" w:themeColor="text1"/>
          <w:sz w:val="18"/>
          <w:szCs w:val="18"/>
        </w:rPr>
        <w:t>Chronic Diseases Research Center, Endocrinology and Metabolism Population Sciences Institute, Tehran University of Medical Sciences, Tehran, Iran</w:t>
      </w:r>
    </w:p>
    <w:p w:rsidR="001B5B66" w:rsidRDefault="0051210A" w:rsidP="0051210A">
      <w:pPr>
        <w:shd w:val="clear" w:color="auto" w:fill="FFFFFF"/>
        <w:spacing w:after="0" w:line="240" w:lineRule="auto"/>
        <w:jc w:val="both"/>
        <w:rPr>
          <w:rFonts w:asciiTheme="minorBidi" w:eastAsia="Times New Roman" w:hAnsiTheme="minorBidi" w:cstheme="minorBidi"/>
          <w:noProof/>
          <w:color w:val="000000"/>
          <w:sz w:val="18"/>
          <w:szCs w:val="18"/>
        </w:rPr>
      </w:pPr>
      <w:r w:rsidRPr="0019431A">
        <w:rPr>
          <w:rFonts w:asciiTheme="minorBidi" w:hAnsiTheme="minorBidi" w:cstheme="minorBidi"/>
          <w:color w:val="000000" w:themeColor="text1"/>
          <w:sz w:val="18"/>
          <w:szCs w:val="18"/>
        </w:rPr>
        <w:t xml:space="preserve">Mahsa Mohammadamoli, </w:t>
      </w:r>
      <w:r w:rsidRPr="0019431A">
        <w:rPr>
          <w:rFonts w:asciiTheme="minorBidi" w:eastAsia="Times New Roman" w:hAnsiTheme="minorBidi" w:cstheme="minorBidi"/>
          <w:noProof/>
          <w:color w:val="000000"/>
          <w:sz w:val="18"/>
          <w:szCs w:val="18"/>
        </w:rPr>
        <w:t>Endocrinology and Metabolism Research Centre, Tehran University of Medical Sciences, Iran</w:t>
      </w:r>
    </w:p>
    <w:p w:rsidR="0051210A" w:rsidRPr="0051210A" w:rsidRDefault="0051210A" w:rsidP="0051210A">
      <w:pPr>
        <w:shd w:val="clear" w:color="auto" w:fill="FFFFFF"/>
        <w:spacing w:after="0" w:line="240" w:lineRule="auto"/>
        <w:jc w:val="both"/>
        <w:rPr>
          <w:rFonts w:asciiTheme="minorBidi" w:eastAsia="Times New Roman" w:hAnsiTheme="minorBidi" w:cstheme="minorBidi"/>
          <w:noProof/>
          <w:color w:val="000000"/>
          <w:sz w:val="18"/>
          <w:szCs w:val="18"/>
        </w:rPr>
      </w:pPr>
    </w:p>
    <w:p w:rsidR="00D70B86" w:rsidRDefault="00D70B86" w:rsidP="0051210A">
      <w:pPr>
        <w:spacing w:after="0" w:line="240" w:lineRule="auto"/>
        <w:contextualSpacing/>
        <w:jc w:val="both"/>
        <w:rPr>
          <w:rFonts w:asciiTheme="minorBidi" w:eastAsia="Times New Roman" w:hAnsiTheme="minorBidi" w:cstheme="minorBidi"/>
          <w:b/>
          <w:bCs/>
          <w:noProof/>
          <w:color w:val="C45911" w:themeColor="accent2" w:themeShade="BF"/>
          <w:sz w:val="20"/>
          <w:szCs w:val="20"/>
        </w:rPr>
      </w:pPr>
    </w:p>
    <w:p w:rsidR="00D70B86" w:rsidRDefault="00D70B86" w:rsidP="0051210A">
      <w:pPr>
        <w:spacing w:after="0" w:line="240" w:lineRule="auto"/>
        <w:contextualSpacing/>
        <w:jc w:val="both"/>
        <w:rPr>
          <w:rFonts w:asciiTheme="minorBidi" w:eastAsia="Times New Roman" w:hAnsiTheme="minorBidi" w:cstheme="minorBidi"/>
          <w:b/>
          <w:bCs/>
          <w:noProof/>
          <w:color w:val="C45911" w:themeColor="accent2" w:themeShade="BF"/>
          <w:sz w:val="20"/>
          <w:szCs w:val="20"/>
        </w:rPr>
        <w:sectPr w:rsidR="00D70B86" w:rsidSect="00C006FD">
          <w:pgSz w:w="12240" w:h="15840"/>
          <w:pgMar w:top="1440" w:right="1041" w:bottom="851" w:left="993" w:header="720" w:footer="720" w:gutter="0"/>
          <w:cols w:space="720"/>
          <w:docGrid w:linePitch="360"/>
        </w:sectPr>
      </w:pPr>
    </w:p>
    <w:p w:rsidR="00D70B86" w:rsidRDefault="00D70B86" w:rsidP="0051210A">
      <w:pPr>
        <w:spacing w:after="0" w:line="240" w:lineRule="auto"/>
        <w:contextualSpacing/>
        <w:jc w:val="both"/>
        <w:rPr>
          <w:rFonts w:asciiTheme="minorBidi" w:eastAsia="Times New Roman" w:hAnsiTheme="minorBidi" w:cstheme="minorBidi"/>
          <w:b/>
          <w:bCs/>
          <w:noProof/>
          <w:color w:val="C45911" w:themeColor="accent2" w:themeShade="BF"/>
          <w:sz w:val="20"/>
          <w:szCs w:val="20"/>
        </w:rPr>
      </w:pPr>
    </w:p>
    <w:p w:rsidR="001B5B66" w:rsidRPr="0051210A" w:rsidRDefault="0051210A" w:rsidP="0051210A">
      <w:pPr>
        <w:spacing w:after="0" w:line="240" w:lineRule="auto"/>
        <w:contextualSpacing/>
        <w:jc w:val="both"/>
        <w:rPr>
          <w:rFonts w:asciiTheme="minorBidi" w:eastAsia="Times New Roman" w:hAnsiTheme="minorBidi" w:cstheme="minorBidi"/>
          <w:b/>
          <w:bCs/>
          <w:noProof/>
          <w:color w:val="C45911" w:themeColor="accent2" w:themeShade="BF"/>
          <w:sz w:val="20"/>
          <w:szCs w:val="20"/>
        </w:rPr>
      </w:pPr>
      <w:r w:rsidRPr="0051210A">
        <w:rPr>
          <w:rFonts w:asciiTheme="minorBidi" w:eastAsia="Times New Roman" w:hAnsiTheme="minorBidi" w:cstheme="minorBidi"/>
          <w:b/>
          <w:bCs/>
          <w:noProof/>
          <w:color w:val="C45911" w:themeColor="accent2" w:themeShade="BF"/>
          <w:sz w:val="20"/>
          <w:szCs w:val="20"/>
        </w:rPr>
        <w:t>Abstract</w:t>
      </w:r>
    </w:p>
    <w:p w:rsidR="009E7335" w:rsidRPr="0051210A" w:rsidRDefault="0051210A" w:rsidP="00D70B86">
      <w:pPr>
        <w:spacing w:after="0" w:line="240" w:lineRule="auto"/>
        <w:jc w:val="both"/>
        <w:rPr>
          <w:rFonts w:ascii="Tw Cen MT" w:hAnsi="Tw Cen MT" w:cs="Times New Roman"/>
          <w:sz w:val="18"/>
          <w:szCs w:val="18"/>
        </w:rPr>
      </w:pPr>
      <w:r w:rsidRPr="0051210A">
        <w:rPr>
          <w:rFonts w:ascii="Tw Cen MT" w:hAnsi="Tw Cen MT" w:cs="Times New Roman"/>
          <w:sz w:val="18"/>
          <w:szCs w:val="18"/>
        </w:rPr>
        <w:t>Statement of the problem</w:t>
      </w:r>
      <w:r w:rsidR="009A054C" w:rsidRPr="0051210A">
        <w:rPr>
          <w:rFonts w:ascii="Tw Cen MT" w:hAnsi="Tw Cen MT" w:cs="Times New Roman"/>
          <w:sz w:val="18"/>
          <w:szCs w:val="18"/>
        </w:rPr>
        <w:t>: Endometriosis is a polygenic and multifactorial disease in which angiogenesis maybe implicated. The aim</w:t>
      </w:r>
      <w:r w:rsidR="00C45FD3" w:rsidRPr="0051210A">
        <w:rPr>
          <w:rFonts w:ascii="Tw Cen MT" w:hAnsi="Tw Cen MT" w:cs="Times New Roman"/>
          <w:sz w:val="18"/>
          <w:szCs w:val="18"/>
        </w:rPr>
        <w:t xml:space="preserve"> </w:t>
      </w:r>
      <w:r w:rsidR="009A054C" w:rsidRPr="0051210A">
        <w:rPr>
          <w:rFonts w:ascii="Tw Cen MT" w:hAnsi="Tw Cen MT" w:cs="Times New Roman"/>
          <w:sz w:val="18"/>
          <w:szCs w:val="18"/>
        </w:rPr>
        <w:t xml:space="preserve">of the present study was to assess the role of vascular endothelial growth factor </w:t>
      </w:r>
      <w:r w:rsidR="00CD5D93" w:rsidRPr="0051210A">
        <w:rPr>
          <w:rFonts w:ascii="Tw Cen MT" w:hAnsi="Tw Cen MT" w:cs="Times New Roman"/>
          <w:sz w:val="18"/>
          <w:szCs w:val="18"/>
        </w:rPr>
        <w:t>for the first time</w:t>
      </w:r>
      <w:r w:rsidR="007C6FA4" w:rsidRPr="0051210A">
        <w:rPr>
          <w:rFonts w:ascii="Tw Cen MT" w:hAnsi="Tw Cen MT" w:cs="Times New Roman"/>
          <w:sz w:val="18"/>
          <w:szCs w:val="18"/>
        </w:rPr>
        <w:t xml:space="preserve"> </w:t>
      </w:r>
      <w:r w:rsidR="009A054C" w:rsidRPr="0051210A">
        <w:rPr>
          <w:rFonts w:ascii="Tw Cen MT" w:hAnsi="Tw Cen MT" w:cs="Times New Roman"/>
          <w:sz w:val="18"/>
          <w:szCs w:val="18"/>
        </w:rPr>
        <w:t>in</w:t>
      </w:r>
      <w:r w:rsidR="00CD5D93" w:rsidRPr="0051210A">
        <w:rPr>
          <w:rFonts w:ascii="Tw Cen MT" w:hAnsi="Tw Cen MT" w:cs="Times New Roman"/>
          <w:sz w:val="18"/>
          <w:szCs w:val="18"/>
        </w:rPr>
        <w:t xml:space="preserve"> Iranian women for</w:t>
      </w:r>
      <w:r w:rsidR="009A054C" w:rsidRPr="0051210A">
        <w:rPr>
          <w:rFonts w:ascii="Tw Cen MT" w:hAnsi="Tw Cen MT" w:cs="Times New Roman"/>
          <w:sz w:val="18"/>
          <w:szCs w:val="18"/>
        </w:rPr>
        <w:t xml:space="preserve"> susceptibility to endometriosis</w:t>
      </w:r>
      <w:r w:rsidR="00D70B86">
        <w:rPr>
          <w:rFonts w:ascii="Tw Cen MT" w:hAnsi="Tw Cen MT" w:cs="Times New Roman"/>
          <w:sz w:val="18"/>
          <w:szCs w:val="18"/>
        </w:rPr>
        <w:t>.</w:t>
      </w:r>
      <w:r w:rsidR="009A054C" w:rsidRPr="0051210A">
        <w:rPr>
          <w:rFonts w:ascii="Tw Cen MT" w:hAnsi="Tw Cen MT" w:cs="Times New Roman"/>
          <w:sz w:val="18"/>
          <w:szCs w:val="18"/>
        </w:rPr>
        <w:t xml:space="preserve"> </w:t>
      </w:r>
      <w:r w:rsidRPr="0051210A">
        <w:rPr>
          <w:rFonts w:ascii="Tw Cen MT" w:hAnsi="Tw Cen MT" w:cs="Times New Roman"/>
          <w:sz w:val="18"/>
          <w:szCs w:val="18"/>
        </w:rPr>
        <w:t xml:space="preserve">Methodology &amp; </w:t>
      </w:r>
      <w:r w:rsidRPr="0051210A">
        <w:rPr>
          <w:rFonts w:ascii="Tw Cen MT" w:hAnsi="Tw Cen MT"/>
          <w:sz w:val="18"/>
          <w:szCs w:val="18"/>
        </w:rPr>
        <w:t>Theoretical Orientation</w:t>
      </w:r>
      <w:r w:rsidR="009A054C" w:rsidRPr="0051210A">
        <w:rPr>
          <w:rFonts w:ascii="Tw Cen MT" w:hAnsi="Tw Cen MT" w:cs="Times New Roman"/>
          <w:sz w:val="18"/>
          <w:szCs w:val="18"/>
        </w:rPr>
        <w:t xml:space="preserve">: This study was comprised </w:t>
      </w:r>
      <w:r w:rsidR="00CD5D93" w:rsidRPr="0051210A">
        <w:rPr>
          <w:rFonts w:ascii="Tw Cen MT" w:hAnsi="Tw Cen MT" w:cs="Times New Roman"/>
          <w:sz w:val="18"/>
          <w:szCs w:val="18"/>
        </w:rPr>
        <w:t xml:space="preserve">of </w:t>
      </w:r>
      <w:r w:rsidR="009A054C" w:rsidRPr="0051210A">
        <w:rPr>
          <w:rFonts w:ascii="Tw Cen MT" w:hAnsi="Tw Cen MT" w:cs="Times New Roman"/>
          <w:sz w:val="18"/>
          <w:szCs w:val="18"/>
        </w:rPr>
        <w:t xml:space="preserve">300 </w:t>
      </w:r>
      <w:r w:rsidR="00CD5D93" w:rsidRPr="0051210A">
        <w:rPr>
          <w:rFonts w:ascii="Tw Cen MT" w:hAnsi="Tw Cen MT" w:cs="Times New Roman"/>
          <w:sz w:val="18"/>
          <w:szCs w:val="18"/>
        </w:rPr>
        <w:t>females who underwent</w:t>
      </w:r>
      <w:r w:rsidR="009A054C" w:rsidRPr="0051210A">
        <w:rPr>
          <w:rFonts w:ascii="Tw Cen MT" w:hAnsi="Tw Cen MT" w:cs="Times New Roman"/>
          <w:sz w:val="18"/>
          <w:szCs w:val="18"/>
        </w:rPr>
        <w:t xml:space="preserve"> laparoscopic or laparotomy surgery: 100 patients had a histologically confirmed diagnosis of endometriosis (cases), whereas 200 had no evidence of the disease (controls). The VEGF polymorphisms </w:t>
      </w:r>
      <w:r w:rsidR="00CD5D93" w:rsidRPr="0051210A">
        <w:rPr>
          <w:rFonts w:ascii="Tw Cen MT" w:hAnsi="Tw Cen MT" w:cs="Times New Roman"/>
          <w:sz w:val="18"/>
          <w:szCs w:val="18"/>
        </w:rPr>
        <w:t xml:space="preserve">(VEGF)-2549 I/D, -2578 A/C (rs699947), and +936 C/T (rs3025039) polymorphisms </w:t>
      </w:r>
      <w:r w:rsidR="009A054C" w:rsidRPr="0051210A">
        <w:rPr>
          <w:rFonts w:ascii="Tw Cen MT" w:hAnsi="Tw Cen MT" w:cs="Times New Roman"/>
          <w:sz w:val="18"/>
          <w:szCs w:val="18"/>
        </w:rPr>
        <w:t xml:space="preserve">were determined by RFLP (Restriction Fragment Length Polymorphism), expression of vascular endothelial growth factor (VEGF) mRNA </w:t>
      </w:r>
      <w:r w:rsidR="00CD5D93" w:rsidRPr="0051210A">
        <w:rPr>
          <w:rFonts w:ascii="Tw Cen MT" w:hAnsi="Tw Cen MT" w:cs="Times New Roman"/>
          <w:sz w:val="18"/>
          <w:szCs w:val="18"/>
        </w:rPr>
        <w:t xml:space="preserve">was evaluated using </w:t>
      </w:r>
      <w:r w:rsidR="009A054C" w:rsidRPr="0051210A">
        <w:rPr>
          <w:rFonts w:ascii="Tw Cen MT" w:hAnsi="Tw Cen MT" w:cs="Times New Roman"/>
          <w:sz w:val="18"/>
          <w:szCs w:val="18"/>
        </w:rPr>
        <w:t>Real Time PCR assay.</w:t>
      </w:r>
      <w:r w:rsidR="00D70B86">
        <w:rPr>
          <w:rFonts w:ascii="Tw Cen MT" w:hAnsi="Tw Cen MT" w:cs="Times New Roman"/>
          <w:sz w:val="18"/>
          <w:szCs w:val="18"/>
        </w:rPr>
        <w:t xml:space="preserve"> </w:t>
      </w:r>
      <w:r w:rsidR="00151D76" w:rsidRPr="0051210A">
        <w:rPr>
          <w:rFonts w:ascii="Tw Cen MT" w:hAnsi="Tw Cen MT" w:cs="Times New Roman"/>
          <w:sz w:val="18"/>
          <w:szCs w:val="18"/>
        </w:rPr>
        <w:t>Findings</w:t>
      </w:r>
      <w:r w:rsidR="009A054C" w:rsidRPr="0051210A">
        <w:rPr>
          <w:rFonts w:ascii="Tw Cen MT" w:hAnsi="Tw Cen MT" w:cs="Times New Roman"/>
          <w:sz w:val="18"/>
          <w:szCs w:val="18"/>
        </w:rPr>
        <w:t xml:space="preserve">: </w:t>
      </w:r>
      <w:r w:rsidR="00CD5D93" w:rsidRPr="0051210A">
        <w:rPr>
          <w:rFonts w:ascii="Tw Cen MT" w:hAnsi="Tw Cen MT" w:cs="Times New Roman"/>
          <w:sz w:val="18"/>
          <w:szCs w:val="18"/>
        </w:rPr>
        <w:t xml:space="preserve">No </w:t>
      </w:r>
      <w:r w:rsidR="009A054C" w:rsidRPr="0051210A">
        <w:rPr>
          <w:rFonts w:ascii="Tw Cen MT" w:hAnsi="Tw Cen MT" w:cs="Times New Roman"/>
          <w:sz w:val="18"/>
          <w:szCs w:val="18"/>
        </w:rPr>
        <w:t>statistically significant difference was observed for allele and genotype distribution of the -2578 A/C (</w:t>
      </w:r>
      <w:r w:rsidR="009A054C" w:rsidRPr="0051210A">
        <w:rPr>
          <w:rFonts w:ascii="Tw Cen MT" w:hAnsi="Tw Cen MT" w:cs="Times New Roman"/>
          <w:i/>
          <w:iCs/>
          <w:sz w:val="18"/>
          <w:szCs w:val="18"/>
        </w:rPr>
        <w:t>P</w:t>
      </w:r>
      <w:r w:rsidR="009A054C" w:rsidRPr="0051210A">
        <w:rPr>
          <w:rFonts w:ascii="Tw Cen MT" w:hAnsi="Tw Cen MT" w:cs="Times New Roman"/>
          <w:sz w:val="18"/>
          <w:szCs w:val="18"/>
        </w:rPr>
        <w:t>=0.7), -2549 I/D (</w:t>
      </w:r>
      <w:r w:rsidR="009A054C" w:rsidRPr="0051210A">
        <w:rPr>
          <w:rFonts w:ascii="Tw Cen MT" w:hAnsi="Tw Cen MT" w:cs="Times New Roman"/>
          <w:i/>
          <w:iCs/>
          <w:sz w:val="18"/>
          <w:szCs w:val="18"/>
        </w:rPr>
        <w:t>P</w:t>
      </w:r>
      <w:r w:rsidR="009A054C" w:rsidRPr="0051210A">
        <w:rPr>
          <w:rFonts w:ascii="Tw Cen MT" w:hAnsi="Tw Cen MT" w:cs="Times New Roman"/>
          <w:sz w:val="18"/>
          <w:szCs w:val="18"/>
        </w:rPr>
        <w:t>=0.7), and +936 C/T (</w:t>
      </w:r>
      <w:r w:rsidR="009A054C" w:rsidRPr="0051210A">
        <w:rPr>
          <w:rFonts w:ascii="Tw Cen MT" w:hAnsi="Tw Cen MT" w:cs="Times New Roman"/>
          <w:i/>
          <w:iCs/>
          <w:sz w:val="18"/>
          <w:szCs w:val="18"/>
        </w:rPr>
        <w:t>P</w:t>
      </w:r>
      <w:r w:rsidR="009A054C" w:rsidRPr="0051210A">
        <w:rPr>
          <w:rFonts w:ascii="Tw Cen MT" w:hAnsi="Tw Cen MT" w:cs="Times New Roman"/>
          <w:sz w:val="18"/>
          <w:szCs w:val="18"/>
        </w:rPr>
        <w:t>=0.5) polymorphisms among endometriosis cases and controls. Also,</w:t>
      </w:r>
      <w:r w:rsidRPr="0051210A">
        <w:rPr>
          <w:rFonts w:ascii="Tw Cen MT" w:hAnsi="Tw Cen MT" w:cs="Times New Roman"/>
          <w:sz w:val="18"/>
          <w:szCs w:val="18"/>
        </w:rPr>
        <w:t xml:space="preserve"> </w:t>
      </w:r>
      <w:r w:rsidR="00CD5D93" w:rsidRPr="0051210A">
        <w:rPr>
          <w:rFonts w:ascii="Tw Cen MT" w:hAnsi="Tw Cen MT" w:cs="Times New Roman"/>
          <w:sz w:val="18"/>
          <w:szCs w:val="18"/>
        </w:rPr>
        <w:t xml:space="preserve">no </w:t>
      </w:r>
      <w:r w:rsidR="009A054C" w:rsidRPr="0051210A">
        <w:rPr>
          <w:rFonts w:ascii="Tw Cen MT" w:hAnsi="Tw Cen MT" w:cs="Times New Roman"/>
          <w:sz w:val="18"/>
          <w:szCs w:val="18"/>
        </w:rPr>
        <w:t xml:space="preserve">significant correlation was observed </w:t>
      </w:r>
      <w:r w:rsidR="00CD5D93" w:rsidRPr="0051210A">
        <w:rPr>
          <w:rFonts w:ascii="Tw Cen MT" w:hAnsi="Tw Cen MT" w:cs="Times New Roman"/>
          <w:sz w:val="18"/>
          <w:szCs w:val="18"/>
        </w:rPr>
        <w:t xml:space="preserve">in </w:t>
      </w:r>
      <w:r w:rsidR="009A054C" w:rsidRPr="0051210A">
        <w:rPr>
          <w:rFonts w:ascii="Tw Cen MT" w:hAnsi="Tw Cen MT" w:cs="Times New Roman"/>
          <w:sz w:val="18"/>
          <w:szCs w:val="18"/>
        </w:rPr>
        <w:t>the levels of VEGF and endometriosis.</w:t>
      </w:r>
      <w:r w:rsidR="00CD5D93" w:rsidRPr="0051210A">
        <w:rPr>
          <w:rFonts w:ascii="Tw Cen MT" w:hAnsi="Tw Cen MT" w:cs="Times New Roman"/>
          <w:sz w:val="18"/>
          <w:szCs w:val="18"/>
        </w:rPr>
        <w:t xml:space="preserve"> </w:t>
      </w:r>
      <w:r w:rsidR="009A054C" w:rsidRPr="0051210A">
        <w:rPr>
          <w:rFonts w:ascii="Tw Cen MT" w:hAnsi="Tw Cen MT" w:cs="Times New Roman"/>
          <w:sz w:val="18"/>
          <w:szCs w:val="18"/>
        </w:rPr>
        <w:t xml:space="preserve">By examining the expression of VEGF levels across the menstrual cycle, we </w:t>
      </w:r>
      <w:r w:rsidR="00CD5D93" w:rsidRPr="0051210A">
        <w:rPr>
          <w:rFonts w:ascii="Tw Cen MT" w:hAnsi="Tw Cen MT" w:cs="Times New Roman"/>
          <w:sz w:val="18"/>
          <w:szCs w:val="18"/>
        </w:rPr>
        <w:t>found that</w:t>
      </w:r>
      <w:r w:rsidR="009A054C" w:rsidRPr="0051210A">
        <w:rPr>
          <w:rFonts w:ascii="Tw Cen MT" w:hAnsi="Tw Cen MT" w:cs="Times New Roman"/>
          <w:sz w:val="18"/>
          <w:szCs w:val="18"/>
        </w:rPr>
        <w:t xml:space="preserve"> in the proliferative phase, significantly higher VEGF mRNA levels in eutopic endometrium </w:t>
      </w:r>
      <w:r w:rsidR="00CD5D93" w:rsidRPr="0051210A">
        <w:rPr>
          <w:rFonts w:ascii="Tw Cen MT" w:hAnsi="Tw Cen MT" w:cs="Times New Roman"/>
          <w:sz w:val="18"/>
          <w:szCs w:val="18"/>
        </w:rPr>
        <w:t xml:space="preserve">of </w:t>
      </w:r>
      <w:r w:rsidR="009A054C" w:rsidRPr="0051210A">
        <w:rPr>
          <w:rFonts w:ascii="Tw Cen MT" w:hAnsi="Tw Cen MT" w:cs="Times New Roman"/>
          <w:sz w:val="18"/>
          <w:szCs w:val="18"/>
        </w:rPr>
        <w:t xml:space="preserve">controls </w:t>
      </w:r>
      <w:r w:rsidR="00CD5D93" w:rsidRPr="0051210A">
        <w:rPr>
          <w:rFonts w:ascii="Tw Cen MT" w:hAnsi="Tw Cen MT" w:cs="Times New Roman"/>
          <w:sz w:val="18"/>
          <w:szCs w:val="18"/>
        </w:rPr>
        <w:t xml:space="preserve">was observed compared  to the </w:t>
      </w:r>
      <w:r w:rsidR="009A054C" w:rsidRPr="0051210A">
        <w:rPr>
          <w:rFonts w:ascii="Tw Cen MT" w:hAnsi="Tw Cen MT" w:cs="Times New Roman"/>
          <w:sz w:val="18"/>
          <w:szCs w:val="18"/>
        </w:rPr>
        <w:t xml:space="preserve">women with endometriosis. In the secretory phase, endometrium from women with the disease also showed higher </w:t>
      </w:r>
      <w:r w:rsidR="007C6FA4" w:rsidRPr="0051210A">
        <w:rPr>
          <w:rFonts w:ascii="Tw Cen MT" w:hAnsi="Tw Cen MT" w:cs="Times New Roman"/>
          <w:sz w:val="18"/>
          <w:szCs w:val="18"/>
        </w:rPr>
        <w:t xml:space="preserve">VEGF </w:t>
      </w:r>
      <w:r w:rsidR="009A054C" w:rsidRPr="0051210A">
        <w:rPr>
          <w:rFonts w:ascii="Tw Cen MT" w:hAnsi="Tw Cen MT" w:cs="Times New Roman"/>
          <w:sz w:val="18"/>
          <w:szCs w:val="18"/>
        </w:rPr>
        <w:t>mRNA levels in comparison with endometrium from controls.</w:t>
      </w:r>
      <w:r w:rsidR="007C6FA4" w:rsidRPr="0051210A">
        <w:rPr>
          <w:rFonts w:ascii="Tw Cen MT" w:hAnsi="Tw Cen MT" w:cs="Times New Roman"/>
          <w:sz w:val="18"/>
          <w:szCs w:val="18"/>
        </w:rPr>
        <w:t xml:space="preserve"> </w:t>
      </w:r>
      <w:r w:rsidR="009A054C" w:rsidRPr="0051210A">
        <w:rPr>
          <w:rFonts w:ascii="Tw Cen MT" w:hAnsi="Tw Cen MT" w:cs="Times New Roman"/>
          <w:sz w:val="18"/>
          <w:szCs w:val="18"/>
        </w:rPr>
        <w:t>We also found that extracts of endometrium from controls showed higher VEGF mRNA levels in the proliferative phase than in the secretory phase. In contrast, no significant differences were observed in VEGF levels when comparing secretory versus proliferative phase in endometrium from women with endometriosis.</w:t>
      </w:r>
      <w:r w:rsidR="00D70B86">
        <w:rPr>
          <w:rFonts w:ascii="Tw Cen MT" w:hAnsi="Tw Cen MT" w:cs="Times New Roman"/>
          <w:sz w:val="18"/>
          <w:szCs w:val="18"/>
        </w:rPr>
        <w:t xml:space="preserve"> </w:t>
      </w:r>
      <w:r w:rsidRPr="0051210A">
        <w:rPr>
          <w:rFonts w:ascii="Tw Cen MT" w:hAnsi="Tw Cen MT"/>
          <w:sz w:val="18"/>
          <w:szCs w:val="18"/>
        </w:rPr>
        <w:t>Conclusion &amp; Significance</w:t>
      </w:r>
      <w:r w:rsidR="009A054C" w:rsidRPr="0051210A">
        <w:rPr>
          <w:rFonts w:ascii="Tw Cen MT" w:hAnsi="Tw Cen MT" w:cs="Times New Roman"/>
          <w:sz w:val="18"/>
          <w:szCs w:val="18"/>
        </w:rPr>
        <w:t>: Our results suggest</w:t>
      </w:r>
      <w:r w:rsidR="007C6FA4" w:rsidRPr="0051210A">
        <w:rPr>
          <w:rFonts w:ascii="Tw Cen MT" w:hAnsi="Tw Cen MT" w:cs="Times New Roman"/>
          <w:sz w:val="18"/>
          <w:szCs w:val="18"/>
        </w:rPr>
        <w:t xml:space="preserve"> </w:t>
      </w:r>
      <w:r w:rsidR="009A054C" w:rsidRPr="0051210A">
        <w:rPr>
          <w:rFonts w:ascii="Tw Cen MT" w:hAnsi="Tw Cen MT" w:cs="Times New Roman"/>
          <w:sz w:val="18"/>
          <w:szCs w:val="18"/>
        </w:rPr>
        <w:t xml:space="preserve">that -2549 I/D, -2578 A/C and +936 C/T polymorphisms of VEGF gen did not appear to have an influence on endometriosis susceptibility in an </w:t>
      </w:r>
      <w:r w:rsidR="00D70B86" w:rsidRPr="0051210A">
        <w:rPr>
          <w:rFonts w:ascii="Tw Cen MT" w:hAnsi="Tw Cen MT" w:cs="Times New Roman"/>
          <w:sz w:val="18"/>
          <w:szCs w:val="18"/>
        </w:rPr>
        <w:t xml:space="preserve">Iranian </w:t>
      </w:r>
      <w:r w:rsidR="00D70B86" w:rsidRPr="0051210A">
        <w:rPr>
          <w:rFonts w:ascii="Tw Cen MT" w:hAnsi="Tw Cen MT" w:cs="Times New Roman"/>
          <w:sz w:val="18"/>
          <w:szCs w:val="18"/>
        </w:rPr>
        <w:lastRenderedPageBreak/>
        <w:t>population.</w:t>
      </w:r>
      <w:r w:rsidR="00D70B86">
        <w:rPr>
          <w:rFonts w:ascii="Tw Cen MT" w:hAnsi="Tw Cen MT" w:cs="Times New Roman"/>
          <w:sz w:val="18"/>
          <w:szCs w:val="18"/>
        </w:rPr>
        <w:t xml:space="preserve"> </w:t>
      </w:r>
      <w:r w:rsidR="009A054C" w:rsidRPr="0051210A">
        <w:rPr>
          <w:rFonts w:ascii="Tw Cen MT" w:hAnsi="Tw Cen MT" w:cs="Times New Roman"/>
          <w:sz w:val="18"/>
          <w:szCs w:val="18"/>
        </w:rPr>
        <w:t>Also we could not find an</w:t>
      </w:r>
      <w:r w:rsidR="00195CB5">
        <w:rPr>
          <w:rFonts w:ascii="Tw Cen MT" w:hAnsi="Tw Cen MT" w:cs="Times New Roman"/>
          <w:sz w:val="18"/>
          <w:szCs w:val="18"/>
        </w:rPr>
        <w:t xml:space="preserve"> </w:t>
      </w:r>
      <w:r w:rsidR="009A054C" w:rsidRPr="0051210A">
        <w:rPr>
          <w:rFonts w:ascii="Tw Cen MT" w:hAnsi="Tw Cen MT" w:cs="Times New Roman"/>
          <w:sz w:val="18"/>
          <w:szCs w:val="18"/>
        </w:rPr>
        <w:t>association between the mRNA VEGF and the risk of endometriosis.</w:t>
      </w:r>
    </w:p>
    <w:p w:rsidR="00C006FD" w:rsidRDefault="00C006FD" w:rsidP="0051210A">
      <w:pPr>
        <w:spacing w:after="0" w:line="240" w:lineRule="auto"/>
        <w:rPr>
          <w:b/>
          <w:bCs/>
          <w:color w:val="C45911" w:themeColor="accent2" w:themeShade="BF"/>
          <w:sz w:val="20"/>
          <w:szCs w:val="20"/>
        </w:rPr>
      </w:pPr>
    </w:p>
    <w:p w:rsidR="0051210A" w:rsidRPr="0051210A" w:rsidRDefault="0051210A" w:rsidP="0051210A">
      <w:pPr>
        <w:spacing w:after="0" w:line="240" w:lineRule="auto"/>
        <w:rPr>
          <w:b/>
          <w:bCs/>
          <w:color w:val="C45911" w:themeColor="accent2" w:themeShade="BF"/>
          <w:sz w:val="20"/>
          <w:szCs w:val="20"/>
        </w:rPr>
      </w:pPr>
      <w:r w:rsidRPr="0051210A">
        <w:rPr>
          <w:b/>
          <w:bCs/>
          <w:color w:val="C45911" w:themeColor="accent2" w:themeShade="BF"/>
          <w:sz w:val="20"/>
          <w:szCs w:val="20"/>
        </w:rPr>
        <w:t>Resent Publications</w:t>
      </w:r>
    </w:p>
    <w:p w:rsidR="0051210A" w:rsidRPr="0019431A" w:rsidRDefault="0021709D" w:rsidP="0021709D">
      <w:pPr>
        <w:spacing w:line="240" w:lineRule="auto"/>
        <w:jc w:val="both"/>
        <w:rPr>
          <w:rFonts w:ascii="Tw Cen MT" w:hAnsi="Tw Cen MT" w:cs="Times New Roman"/>
          <w:noProof/>
          <w:sz w:val="18"/>
          <w:szCs w:val="18"/>
        </w:rPr>
      </w:pPr>
      <w:r>
        <w:rPr>
          <w:rFonts w:ascii="Tw Cen MT" w:hAnsi="Tw Cen MT" w:cs="Times New Roman"/>
          <w:noProof/>
          <w:sz w:val="18"/>
          <w:szCs w:val="18"/>
        </w:rPr>
        <w:t xml:space="preserve">1. </w:t>
      </w:r>
      <w:r w:rsidR="0051210A" w:rsidRPr="0019431A">
        <w:rPr>
          <w:rFonts w:ascii="Tw Cen MT" w:hAnsi="Tw Cen MT" w:cs="Times New Roman"/>
          <w:noProof/>
          <w:sz w:val="18"/>
          <w:szCs w:val="18"/>
        </w:rPr>
        <w:t>Gilabert-Estellés J, Ramón L, Espana F, Gilabert J, Vila V, Réganon E, et al. Expression of angiogenic factors in endometriosis: relationship to fibrinolytic and metalloproteinase systems. Human Reproduction. 2007;22(8):2120-7.</w:t>
      </w:r>
    </w:p>
    <w:p w:rsidR="0051210A" w:rsidRPr="0019431A" w:rsidRDefault="0021709D" w:rsidP="0021709D">
      <w:pPr>
        <w:spacing w:line="240" w:lineRule="auto"/>
        <w:jc w:val="both"/>
        <w:rPr>
          <w:rFonts w:ascii="Tw Cen MT" w:hAnsi="Tw Cen MT" w:cs="Times New Roman"/>
          <w:noProof/>
          <w:sz w:val="18"/>
          <w:szCs w:val="18"/>
        </w:rPr>
      </w:pPr>
      <w:r>
        <w:rPr>
          <w:rFonts w:ascii="Tw Cen MT" w:hAnsi="Tw Cen MT" w:cs="Times New Roman"/>
          <w:noProof/>
          <w:sz w:val="18"/>
          <w:szCs w:val="18"/>
        </w:rPr>
        <w:t xml:space="preserve">2. </w:t>
      </w:r>
      <w:r w:rsidR="0051210A" w:rsidRPr="0019431A">
        <w:rPr>
          <w:rFonts w:ascii="Tw Cen MT" w:hAnsi="Tw Cen MT" w:cs="Times New Roman"/>
          <w:noProof/>
          <w:sz w:val="18"/>
          <w:szCs w:val="18"/>
        </w:rPr>
        <w:t>Tan X-J, Lang J-H, Liu D-Y, Shen K, Leng J-H, Zhu L. Expression of vascular endothelial growth factor and thrombospondin-1 mRNA in patients with endometriosis. Fertility and sterility. 2002;78(1):148-53.</w:t>
      </w:r>
    </w:p>
    <w:p w:rsidR="0051210A" w:rsidRPr="0019431A" w:rsidRDefault="0021709D" w:rsidP="0021709D">
      <w:pPr>
        <w:spacing w:line="240" w:lineRule="auto"/>
        <w:jc w:val="both"/>
        <w:rPr>
          <w:rFonts w:ascii="Tw Cen MT" w:hAnsi="Tw Cen MT" w:cs="Times New Roman"/>
          <w:noProof/>
          <w:sz w:val="18"/>
          <w:szCs w:val="18"/>
        </w:rPr>
      </w:pPr>
      <w:r>
        <w:rPr>
          <w:rFonts w:ascii="Tw Cen MT" w:hAnsi="Tw Cen MT" w:cs="Times New Roman"/>
          <w:noProof/>
          <w:sz w:val="18"/>
          <w:szCs w:val="18"/>
        </w:rPr>
        <w:t xml:space="preserve">3. </w:t>
      </w:r>
      <w:r w:rsidR="0051210A" w:rsidRPr="0019431A">
        <w:rPr>
          <w:rFonts w:ascii="Tw Cen MT" w:hAnsi="Tw Cen MT" w:cs="Times New Roman"/>
          <w:noProof/>
          <w:sz w:val="18"/>
          <w:szCs w:val="18"/>
        </w:rPr>
        <w:t>Zhao ZZ, Nyholt DR, Thomas S, Treloar SA, Montgomery GW. Polymorphisms in the vascular endothelial growth factor gene and the risk of familial endometriosis. Molecular human reproduction. 2008;14(9):531-8.</w:t>
      </w:r>
    </w:p>
    <w:p w:rsidR="0051210A" w:rsidRPr="0019431A" w:rsidRDefault="0021709D" w:rsidP="0021709D">
      <w:pPr>
        <w:spacing w:line="240" w:lineRule="auto"/>
        <w:jc w:val="both"/>
        <w:rPr>
          <w:rFonts w:ascii="Tw Cen MT" w:hAnsi="Tw Cen MT" w:cs="Times New Roman"/>
          <w:noProof/>
          <w:sz w:val="18"/>
          <w:szCs w:val="18"/>
        </w:rPr>
      </w:pPr>
      <w:r>
        <w:rPr>
          <w:rFonts w:ascii="Tw Cen MT" w:hAnsi="Tw Cen MT" w:cs="Times New Roman"/>
          <w:noProof/>
          <w:sz w:val="18"/>
          <w:szCs w:val="18"/>
        </w:rPr>
        <w:t xml:space="preserve">4. </w:t>
      </w:r>
      <w:r w:rsidR="0051210A" w:rsidRPr="0019431A">
        <w:rPr>
          <w:rFonts w:ascii="Tw Cen MT" w:hAnsi="Tw Cen MT" w:cs="Times New Roman"/>
          <w:noProof/>
          <w:sz w:val="18"/>
          <w:szCs w:val="18"/>
        </w:rPr>
        <w:t>Watson CJ, Webb NJ, Bottomley MJ, Brenchley PE. Identification of polymorphisms within the vascular endothelial growth factor (VEGF) gene: correlation with variation in VEGF protein production. Cytokine. 2000;12(8):1232-5.</w:t>
      </w:r>
    </w:p>
    <w:p w:rsidR="0051210A" w:rsidRPr="0019431A" w:rsidRDefault="0021709D" w:rsidP="0021709D">
      <w:pPr>
        <w:spacing w:line="240" w:lineRule="auto"/>
        <w:jc w:val="both"/>
        <w:rPr>
          <w:rFonts w:ascii="Tw Cen MT" w:hAnsi="Tw Cen MT" w:cstheme="majorBidi"/>
          <w:noProof/>
          <w:sz w:val="18"/>
          <w:szCs w:val="18"/>
        </w:rPr>
      </w:pPr>
      <w:r>
        <w:rPr>
          <w:rFonts w:ascii="Tw Cen MT" w:hAnsi="Tw Cen MT" w:cstheme="majorBidi"/>
          <w:noProof/>
          <w:sz w:val="18"/>
          <w:szCs w:val="18"/>
        </w:rPr>
        <w:t xml:space="preserve">5. </w:t>
      </w:r>
      <w:r w:rsidR="0051210A" w:rsidRPr="0019431A">
        <w:rPr>
          <w:rFonts w:ascii="Tw Cen MT" w:hAnsi="Tw Cen MT" w:cstheme="majorBidi"/>
          <w:noProof/>
          <w:sz w:val="18"/>
          <w:szCs w:val="18"/>
        </w:rPr>
        <w:t>Jiang Y, Tang J, Wu Y, Zhao T. [Vascular endothelial growth factor gene polymorphisms and the risk of endometriosis: a systematic review]. Zhonghua fu chan ke za zhi. 2012;47(3):179-84</w:t>
      </w:r>
      <w:r w:rsidR="0051210A" w:rsidRPr="0019431A">
        <w:rPr>
          <w:rFonts w:ascii="Tw Cen MT" w:hAnsi="Tw Cen MT" w:cstheme="majorBidi"/>
          <w:noProof/>
          <w:sz w:val="18"/>
          <w:szCs w:val="18"/>
          <w:rtl/>
        </w:rPr>
        <w:t>.</w:t>
      </w:r>
    </w:p>
    <w:p w:rsidR="0051210A" w:rsidRDefault="0021709D" w:rsidP="0021709D">
      <w:pPr>
        <w:spacing w:line="240" w:lineRule="auto"/>
        <w:jc w:val="both"/>
        <w:rPr>
          <w:rFonts w:ascii="Tw Cen MT" w:hAnsi="Tw Cen MT" w:cstheme="majorBidi"/>
          <w:noProof/>
          <w:sz w:val="18"/>
          <w:szCs w:val="18"/>
        </w:rPr>
      </w:pPr>
      <w:r>
        <w:rPr>
          <w:rFonts w:ascii="Tw Cen MT" w:hAnsi="Tw Cen MT" w:cstheme="majorBidi"/>
          <w:noProof/>
          <w:sz w:val="18"/>
          <w:szCs w:val="18"/>
        </w:rPr>
        <w:t xml:space="preserve">6. </w:t>
      </w:r>
      <w:r w:rsidR="0051210A" w:rsidRPr="0019431A">
        <w:rPr>
          <w:rFonts w:ascii="Tw Cen MT" w:hAnsi="Tw Cen MT" w:cstheme="majorBidi"/>
          <w:noProof/>
          <w:sz w:val="18"/>
          <w:szCs w:val="18"/>
        </w:rPr>
        <w:t>Ikuhashi Y, Yoshida S, Kennedy S, Zondervan K, Takemura N, Deguchi M, et al. Vascular endothelial growth factor+ 936 C/T</w:t>
      </w:r>
      <w:r w:rsidR="0051210A" w:rsidRPr="0019431A">
        <w:rPr>
          <w:rFonts w:ascii="Tw Cen MT" w:hAnsi="Tw Cen MT" w:cstheme="majorBidi"/>
          <w:noProof/>
          <w:sz w:val="18"/>
          <w:szCs w:val="18"/>
          <w:rtl/>
        </w:rPr>
        <w:t xml:space="preserve"> </w:t>
      </w:r>
      <w:r w:rsidR="0051210A" w:rsidRPr="0019431A">
        <w:rPr>
          <w:rFonts w:ascii="Tw Cen MT" w:hAnsi="Tw Cen MT" w:cstheme="majorBidi"/>
          <w:noProof/>
          <w:sz w:val="18"/>
          <w:szCs w:val="18"/>
        </w:rPr>
        <w:t>polymorphism is associated with an increased risk of endometriosis in a Japanese population. Acta obstetricia et gynecologica Scandinavica. 2007;86(11):1352-8</w:t>
      </w:r>
      <w:r w:rsidR="0051210A" w:rsidRPr="0019431A">
        <w:rPr>
          <w:rFonts w:ascii="Tw Cen MT" w:hAnsi="Tw Cen MT" w:cstheme="majorBidi"/>
          <w:noProof/>
          <w:sz w:val="18"/>
          <w:szCs w:val="18"/>
          <w:rtl/>
        </w:rPr>
        <w:t>.</w:t>
      </w:r>
    </w:p>
    <w:p w:rsidR="00C006FD" w:rsidRDefault="00C006FD" w:rsidP="0021709D">
      <w:pPr>
        <w:spacing w:line="240" w:lineRule="auto"/>
        <w:jc w:val="both"/>
        <w:rPr>
          <w:rFonts w:ascii="Tw Cen MT" w:hAnsi="Tw Cen MT" w:cstheme="majorBidi"/>
          <w:noProof/>
          <w:sz w:val="18"/>
          <w:szCs w:val="18"/>
        </w:rPr>
        <w:sectPr w:rsidR="00C006FD" w:rsidSect="00C006FD">
          <w:type w:val="continuous"/>
          <w:pgSz w:w="12240" w:h="15840"/>
          <w:pgMar w:top="1440" w:right="1041" w:bottom="851" w:left="993" w:header="720" w:footer="720" w:gutter="0"/>
          <w:cols w:num="2" w:space="720"/>
          <w:docGrid w:linePitch="360"/>
        </w:sectPr>
      </w:pPr>
    </w:p>
    <w:p w:rsidR="00195CB5" w:rsidRPr="0021709D" w:rsidRDefault="00195CB5" w:rsidP="0021709D">
      <w:pPr>
        <w:spacing w:line="240" w:lineRule="auto"/>
        <w:jc w:val="both"/>
        <w:rPr>
          <w:rFonts w:ascii="Tw Cen MT" w:hAnsi="Tw Cen MT" w:cstheme="majorBidi"/>
          <w:noProof/>
          <w:sz w:val="18"/>
          <w:szCs w:val="18"/>
        </w:rPr>
      </w:pPr>
    </w:p>
    <w:p w:rsidR="00195CB5" w:rsidRDefault="005642E7" w:rsidP="0021709D">
      <w:pPr>
        <w:spacing w:after="0"/>
        <w:rPr>
          <w:rFonts w:asciiTheme="minorBidi" w:hAnsiTheme="minorBidi" w:cstheme="minorBidi"/>
          <w:b/>
          <w:bCs/>
          <w:color w:val="C45911" w:themeColor="accent2" w:themeShade="BF"/>
          <w:sz w:val="20"/>
          <w:szCs w:val="20"/>
        </w:rPr>
      </w:pPr>
      <w:r>
        <w:rPr>
          <w:noProof/>
        </w:rPr>
        <w:pict>
          <v:group id="Group 4" o:spid="_x0000_s1026" style="position:absolute;margin-left:120pt;margin-top:4.65pt;width:313.05pt;height:2pt;z-index:251660288"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square"/>
          </v:group>
        </w:pict>
      </w:r>
    </w:p>
    <w:p w:rsidR="00195CB5" w:rsidRDefault="00C006FD" w:rsidP="0021709D">
      <w:pPr>
        <w:spacing w:after="0"/>
        <w:rPr>
          <w:rFonts w:asciiTheme="minorBidi" w:hAnsiTheme="minorBidi" w:cstheme="minorBidi"/>
          <w:b/>
          <w:bCs/>
          <w:color w:val="C45911" w:themeColor="accent2" w:themeShade="BF"/>
          <w:sz w:val="20"/>
          <w:szCs w:val="20"/>
        </w:rPr>
      </w:pPr>
      <w:r>
        <w:rPr>
          <w:noProof/>
        </w:rPr>
        <w:drawing>
          <wp:anchor distT="0" distB="0" distL="114300" distR="114300" simplePos="0" relativeHeight="251663872" behindDoc="0" locked="0" layoutInCell="1" allowOverlap="1" wp14:anchorId="39946495" wp14:editId="0CE37695">
            <wp:simplePos x="0" y="0"/>
            <wp:positionH relativeFrom="column">
              <wp:posOffset>45720</wp:posOffset>
            </wp:positionH>
            <wp:positionV relativeFrom="paragraph">
              <wp:posOffset>50800</wp:posOffset>
            </wp:positionV>
            <wp:extent cx="612000" cy="845031"/>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00" cy="845031"/>
                    </a:xfrm>
                    <a:prstGeom prst="rect">
                      <a:avLst/>
                    </a:prstGeom>
                  </pic:spPr>
                </pic:pic>
              </a:graphicData>
            </a:graphic>
            <wp14:sizeRelH relativeFrom="page">
              <wp14:pctWidth>0</wp14:pctWidth>
            </wp14:sizeRelH>
            <wp14:sizeRelV relativeFrom="page">
              <wp14:pctHeight>0</wp14:pctHeight>
            </wp14:sizeRelV>
          </wp:anchor>
        </w:drawing>
      </w:r>
    </w:p>
    <w:p w:rsidR="001213FA" w:rsidRDefault="001213FA" w:rsidP="0021709D">
      <w:pPr>
        <w:spacing w:after="0"/>
        <w:rPr>
          <w:rFonts w:asciiTheme="minorBidi" w:hAnsiTheme="minorBidi" w:cstheme="minorBidi"/>
          <w:b/>
          <w:bCs/>
          <w:color w:val="C45911" w:themeColor="accent2" w:themeShade="BF"/>
          <w:sz w:val="20"/>
          <w:szCs w:val="20"/>
        </w:rPr>
      </w:pPr>
    </w:p>
    <w:p w:rsidR="00C006FD" w:rsidRDefault="00C006FD" w:rsidP="0021709D">
      <w:pPr>
        <w:spacing w:after="0"/>
        <w:rPr>
          <w:rFonts w:asciiTheme="minorBidi" w:hAnsiTheme="minorBidi" w:cstheme="minorBidi"/>
          <w:b/>
          <w:bCs/>
          <w:color w:val="C45911" w:themeColor="accent2" w:themeShade="BF"/>
          <w:sz w:val="20"/>
          <w:szCs w:val="20"/>
        </w:rPr>
      </w:pPr>
    </w:p>
    <w:p w:rsidR="00C006FD" w:rsidRDefault="00C006FD" w:rsidP="0021709D">
      <w:pPr>
        <w:spacing w:after="0"/>
        <w:rPr>
          <w:rFonts w:asciiTheme="minorBidi" w:hAnsiTheme="minorBidi" w:cstheme="minorBidi"/>
          <w:b/>
          <w:bCs/>
          <w:color w:val="C45911" w:themeColor="accent2" w:themeShade="BF"/>
          <w:sz w:val="20"/>
          <w:szCs w:val="20"/>
        </w:rPr>
      </w:pPr>
    </w:p>
    <w:p w:rsidR="00C006FD" w:rsidRDefault="00C006FD" w:rsidP="0021709D">
      <w:pPr>
        <w:spacing w:after="0"/>
        <w:rPr>
          <w:rFonts w:asciiTheme="minorBidi" w:hAnsiTheme="minorBidi" w:cstheme="minorBidi"/>
          <w:b/>
          <w:bCs/>
          <w:color w:val="C45911" w:themeColor="accent2" w:themeShade="BF"/>
          <w:sz w:val="20"/>
          <w:szCs w:val="20"/>
        </w:rPr>
      </w:pPr>
    </w:p>
    <w:p w:rsidR="00C006FD" w:rsidRDefault="00C006FD" w:rsidP="0021709D">
      <w:pPr>
        <w:spacing w:after="0"/>
        <w:rPr>
          <w:rFonts w:asciiTheme="minorBidi" w:hAnsiTheme="minorBidi" w:cstheme="minorBidi"/>
          <w:b/>
          <w:bCs/>
          <w:color w:val="C45911" w:themeColor="accent2" w:themeShade="BF"/>
          <w:sz w:val="20"/>
          <w:szCs w:val="20"/>
        </w:rPr>
      </w:pPr>
    </w:p>
    <w:p w:rsidR="0021709D" w:rsidRDefault="0021709D" w:rsidP="0021709D">
      <w:pPr>
        <w:spacing w:after="0"/>
        <w:rPr>
          <w:rFonts w:asciiTheme="minorBidi" w:hAnsiTheme="minorBidi" w:cstheme="minorBidi"/>
          <w:b/>
          <w:bCs/>
          <w:color w:val="C45911" w:themeColor="accent2" w:themeShade="BF"/>
          <w:sz w:val="20"/>
          <w:szCs w:val="20"/>
        </w:rPr>
      </w:pPr>
      <w:r w:rsidRPr="0021709D">
        <w:rPr>
          <w:rFonts w:asciiTheme="minorBidi" w:hAnsiTheme="minorBidi" w:cstheme="minorBidi"/>
          <w:b/>
          <w:bCs/>
          <w:color w:val="C45911" w:themeColor="accent2" w:themeShade="BF"/>
          <w:sz w:val="20"/>
          <w:szCs w:val="20"/>
        </w:rPr>
        <w:t>Biography</w:t>
      </w:r>
    </w:p>
    <w:p w:rsidR="00C006FD" w:rsidRPr="00D70B86" w:rsidRDefault="0021709D" w:rsidP="00C006FD">
      <w:pPr>
        <w:jc w:val="both"/>
        <w:rPr>
          <w:rFonts w:ascii="Tw Cen MT" w:hAnsi="Tw Cen MT" w:cstheme="minorBidi"/>
          <w:sz w:val="18"/>
          <w:szCs w:val="18"/>
        </w:rPr>
      </w:pPr>
      <w:r w:rsidRPr="00D70B86">
        <w:rPr>
          <w:rFonts w:ascii="Tw Cen MT" w:hAnsi="Tw Cen MT" w:cstheme="minorBidi"/>
          <w:sz w:val="18"/>
          <w:szCs w:val="18"/>
        </w:rPr>
        <w:t xml:space="preserve">I am a graduate of molecular biology who has experience of being research assistant (associate) for more than three years in </w:t>
      </w:r>
      <w:bookmarkStart w:id="0" w:name="_GoBack"/>
      <w:r w:rsidR="005707A0">
        <w:rPr>
          <w:rFonts w:ascii="Tw Cen MT" w:hAnsi="Tw Cen MT" w:cstheme="minorBidi"/>
          <w:sz w:val="18"/>
          <w:szCs w:val="18"/>
        </w:rPr>
        <w:t xml:space="preserve">immunogenetic </w:t>
      </w:r>
      <w:bookmarkEnd w:id="0"/>
      <w:r w:rsidR="005707A0">
        <w:rPr>
          <w:rFonts w:ascii="Tw Cen MT" w:hAnsi="Tw Cen MT" w:cstheme="minorBidi"/>
          <w:sz w:val="18"/>
          <w:szCs w:val="18"/>
        </w:rPr>
        <w:t xml:space="preserve">branch of </w:t>
      </w:r>
      <w:r w:rsidRPr="00D70B86">
        <w:rPr>
          <w:rFonts w:ascii="Tw Cen MT" w:hAnsi="Tw Cen MT" w:cstheme="minorBidi"/>
          <w:sz w:val="18"/>
          <w:szCs w:val="18"/>
        </w:rPr>
        <w:t xml:space="preserve">Endocrinology and metabolism research center. I was mostly focused on the </w:t>
      </w:r>
      <w:r w:rsidR="00195CB5" w:rsidRPr="00D70B86">
        <w:rPr>
          <w:rFonts w:ascii="Tw Cen MT" w:hAnsi="Tw Cen MT" w:cstheme="minorBidi"/>
          <w:sz w:val="18"/>
          <w:szCs w:val="18"/>
        </w:rPr>
        <w:t>immunogenic</w:t>
      </w:r>
      <w:r w:rsidRPr="00D70B86">
        <w:rPr>
          <w:rFonts w:ascii="Tw Cen MT" w:hAnsi="Tw Cen MT" w:cstheme="minorBidi"/>
          <w:sz w:val="18"/>
          <w:szCs w:val="18"/>
        </w:rPr>
        <w:t xml:space="preserve"> projects because I am eager to find</w:t>
      </w:r>
      <w:r w:rsidR="001213FA" w:rsidRPr="00D70B86">
        <w:rPr>
          <w:rFonts w:ascii="Tw Cen MT" w:hAnsi="Tw Cen MT" w:cstheme="minorBidi"/>
          <w:sz w:val="18"/>
          <w:szCs w:val="18"/>
        </w:rPr>
        <w:t xml:space="preserve"> the association between genes and immune system. </w:t>
      </w:r>
    </w:p>
    <w:p w:rsidR="0051210A" w:rsidRPr="00D70B86" w:rsidRDefault="00D70B86" w:rsidP="00D70B86">
      <w:pPr>
        <w:spacing w:before="62"/>
        <w:ind w:right="4235"/>
        <w:jc w:val="center"/>
        <w:rPr>
          <w:rFonts w:ascii="Arial"/>
          <w:sz w:val="14"/>
        </w:rPr>
      </w:pPr>
      <w:r>
        <w:rPr>
          <w:rFonts w:ascii="Arial"/>
          <w:sz w:val="14"/>
        </w:rPr>
        <w:t xml:space="preserve">                                                                                      </w:t>
      </w:r>
      <w:r w:rsidR="00C006FD">
        <w:rPr>
          <w:rFonts w:ascii="Arial"/>
          <w:sz w:val="14"/>
        </w:rPr>
        <w:t xml:space="preserve">Email: </w:t>
      </w:r>
      <w:hyperlink r:id="rId7" w:history="1">
        <w:r w:rsidR="00C006FD" w:rsidRPr="00AB1EA4">
          <w:rPr>
            <w:rStyle w:val="Hyperlink"/>
            <w:rFonts w:ascii="Arial"/>
            <w:sz w:val="14"/>
          </w:rPr>
          <w:t>nsarhangi198@gmail.com</w:t>
        </w:r>
      </w:hyperlink>
    </w:p>
    <w:sectPr w:rsidR="0051210A" w:rsidRPr="00D70B86" w:rsidSect="00C006FD">
      <w:type w:val="continuous"/>
      <w:pgSz w:w="12240" w:h="15840"/>
      <w:pgMar w:top="1440" w:right="1041" w:bottom="851" w:left="9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42E7" w:rsidRDefault="005642E7" w:rsidP="009A054C">
      <w:pPr>
        <w:spacing w:after="0" w:line="240" w:lineRule="auto"/>
      </w:pPr>
      <w:r>
        <w:separator/>
      </w:r>
    </w:p>
  </w:endnote>
  <w:endnote w:type="continuationSeparator" w:id="0">
    <w:p w:rsidR="005642E7" w:rsidRDefault="005642E7" w:rsidP="009A0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inion">
    <w:altName w:val="Times New Roman"/>
    <w:panose1 w:val="00000000000000000000"/>
    <w:charset w:val="00"/>
    <w:family w:val="roman"/>
    <w:notTrueType/>
    <w:pitch w:val="default"/>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42E7" w:rsidRDefault="005642E7" w:rsidP="009A054C">
      <w:pPr>
        <w:spacing w:after="0" w:line="240" w:lineRule="auto"/>
      </w:pPr>
      <w:r>
        <w:separator/>
      </w:r>
    </w:p>
  </w:footnote>
  <w:footnote w:type="continuationSeparator" w:id="0">
    <w:p w:rsidR="005642E7" w:rsidRDefault="005642E7" w:rsidP="009A05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A054C"/>
    <w:rsid w:val="00093794"/>
    <w:rsid w:val="001213FA"/>
    <w:rsid w:val="00151D76"/>
    <w:rsid w:val="00195CB5"/>
    <w:rsid w:val="001B5B66"/>
    <w:rsid w:val="0021709D"/>
    <w:rsid w:val="0026700E"/>
    <w:rsid w:val="002A2FCA"/>
    <w:rsid w:val="0051210A"/>
    <w:rsid w:val="005642E7"/>
    <w:rsid w:val="005707A0"/>
    <w:rsid w:val="007C6FA4"/>
    <w:rsid w:val="0090374D"/>
    <w:rsid w:val="009A054C"/>
    <w:rsid w:val="009E7335"/>
    <w:rsid w:val="00A81528"/>
    <w:rsid w:val="00C006FD"/>
    <w:rsid w:val="00C4303D"/>
    <w:rsid w:val="00C45FD3"/>
    <w:rsid w:val="00CD5D93"/>
    <w:rsid w:val="00D70B86"/>
    <w:rsid w:val="00D913B8"/>
    <w:rsid w:val="00D9295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Line 5"/>
      </o:rules>
    </o:shapelayout>
  </w:shapeDefaults>
  <w:decimalSymbol w:val="."/>
  <w:listSeparator w:val=","/>
  <w15:docId w15:val="{B9186AE2-2106-411D-A01E-529DC46D1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054C"/>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54C"/>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A054C"/>
  </w:style>
  <w:style w:type="paragraph" w:styleId="Footer">
    <w:name w:val="footer"/>
    <w:basedOn w:val="Normal"/>
    <w:link w:val="FooterChar"/>
    <w:uiPriority w:val="99"/>
    <w:unhideWhenUsed/>
    <w:rsid w:val="009A054C"/>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A054C"/>
  </w:style>
  <w:style w:type="character" w:styleId="Hyperlink">
    <w:name w:val="Hyperlink"/>
    <w:basedOn w:val="DefaultParagraphFont"/>
    <w:uiPriority w:val="99"/>
    <w:unhideWhenUsed/>
    <w:rsid w:val="001B5B66"/>
    <w:rPr>
      <w:color w:val="0563C1" w:themeColor="hyperlink"/>
      <w:u w:val="single"/>
    </w:rPr>
  </w:style>
  <w:style w:type="paragraph" w:styleId="BalloonText">
    <w:name w:val="Balloon Text"/>
    <w:basedOn w:val="Normal"/>
    <w:link w:val="BalloonTextChar"/>
    <w:uiPriority w:val="99"/>
    <w:semiHidden/>
    <w:unhideWhenUsed/>
    <w:rsid w:val="00CD5D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D93"/>
    <w:rPr>
      <w:rFonts w:ascii="Tahoma" w:eastAsia="Calibri" w:hAnsi="Tahoma" w:cs="Tahoma"/>
      <w:sz w:val="16"/>
      <w:szCs w:val="16"/>
    </w:rPr>
  </w:style>
  <w:style w:type="paragraph" w:styleId="ListParagraph">
    <w:name w:val="List Paragraph"/>
    <w:basedOn w:val="Normal"/>
    <w:uiPriority w:val="34"/>
    <w:qFormat/>
    <w:rsid w:val="005121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sarhangi198@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2017-08-12T07:28:00Z</dcterms:created>
  <dcterms:modified xsi:type="dcterms:W3CDTF">2017-08-12T15:10:00Z</dcterms:modified>
</cp:coreProperties>
</file>