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790" w:rsidRDefault="00AE54C3" w:rsidP="00AE54C3">
      <w:pPr>
        <w:wordWrap/>
        <w:adjustRightInd w:val="0"/>
        <w:spacing w:after="0" w:line="240" w:lineRule="auto"/>
        <w:jc w:val="left"/>
        <w:rPr>
          <w:rFonts w:ascii="Minion Pro" w:eastAsia="GulliverRM" w:hAnsi="Minion Pro" w:cs="GulliverRM"/>
          <w:color w:val="0070C0"/>
          <w:kern w:val="0"/>
          <w:sz w:val="36"/>
          <w:szCs w:val="36"/>
        </w:rPr>
      </w:pPr>
      <w:r w:rsidRPr="00085297">
        <w:rPr>
          <w:rFonts w:ascii="Minion Pro" w:eastAsia="GulliverRM" w:hAnsi="Minion Pro" w:cs="GulliverRM"/>
          <w:color w:val="0070C0"/>
          <w:kern w:val="0"/>
          <w:sz w:val="36"/>
          <w:szCs w:val="36"/>
        </w:rPr>
        <w:t>Opposing roles of TGF-</w:t>
      </w:r>
      <w:r w:rsidRPr="00085297">
        <w:rPr>
          <w:rFonts w:ascii="MS Mincho" w:eastAsia="MS Mincho" w:hAnsi="MS Mincho" w:cs="GulliverRM" w:hint="eastAsia"/>
          <w:color w:val="0070C0"/>
          <w:kern w:val="0"/>
          <w:sz w:val="36"/>
          <w:szCs w:val="36"/>
        </w:rPr>
        <w:t>β</w:t>
      </w:r>
      <w:r w:rsidRPr="00085297">
        <w:rPr>
          <w:rFonts w:ascii="Minion Pro" w:eastAsia="GulliverRM" w:hAnsi="Minion Pro" w:cs="GulliverRM"/>
          <w:color w:val="0070C0"/>
          <w:kern w:val="0"/>
          <w:sz w:val="36"/>
          <w:szCs w:val="36"/>
        </w:rPr>
        <w:t>in prostaglandin production by human</w:t>
      </w:r>
      <w:r w:rsidRPr="00085297">
        <w:rPr>
          <w:rFonts w:ascii="Minion Pro" w:eastAsia="GulliverRM" w:hAnsi="Minion Pro" w:cs="GulliverRM"/>
          <w:color w:val="0070C0"/>
          <w:kern w:val="0"/>
          <w:sz w:val="36"/>
          <w:szCs w:val="36"/>
        </w:rPr>
        <w:t xml:space="preserve"> </w:t>
      </w:r>
      <w:r w:rsidRPr="00085297">
        <w:rPr>
          <w:rFonts w:ascii="Minion Pro" w:eastAsia="GulliverRM" w:hAnsi="Minion Pro" w:cs="GulliverRM"/>
          <w:color w:val="0070C0"/>
          <w:kern w:val="0"/>
          <w:sz w:val="36"/>
          <w:szCs w:val="36"/>
        </w:rPr>
        <w:t>follicular dendritic cell-like cells</w:t>
      </w:r>
    </w:p>
    <w:p w:rsidR="002B0F16" w:rsidRPr="002B0F16" w:rsidRDefault="002B0F16" w:rsidP="00AE54C3">
      <w:pPr>
        <w:wordWrap/>
        <w:adjustRightInd w:val="0"/>
        <w:spacing w:after="0" w:line="240" w:lineRule="auto"/>
        <w:jc w:val="left"/>
        <w:rPr>
          <w:rFonts w:ascii="Minion Pro" w:eastAsia="GulliverRM" w:hAnsi="Minion Pro" w:cs="GulliverRM"/>
          <w:color w:val="0070C0"/>
          <w:kern w:val="0"/>
          <w:sz w:val="16"/>
          <w:szCs w:val="16"/>
        </w:rPr>
      </w:pPr>
    </w:p>
    <w:p w:rsidR="00085297" w:rsidRPr="002B0F16" w:rsidRDefault="00085297" w:rsidP="00AE54C3">
      <w:pPr>
        <w:wordWrap/>
        <w:adjustRightInd w:val="0"/>
        <w:spacing w:after="0" w:line="240" w:lineRule="auto"/>
        <w:jc w:val="left"/>
        <w:rPr>
          <w:rFonts w:ascii="Arial" w:eastAsia="Arial Unicode MS" w:hAnsi="Arial" w:cs="Arial"/>
          <w:kern w:val="0"/>
          <w:sz w:val="18"/>
          <w:szCs w:val="18"/>
        </w:rPr>
      </w:pPr>
      <w:r w:rsidRPr="002B0F16">
        <w:rPr>
          <w:rFonts w:ascii="Arial" w:eastAsia="Arial Unicode MS" w:hAnsi="Arial" w:cs="Arial" w:hint="cs"/>
          <w:kern w:val="0"/>
          <w:sz w:val="18"/>
          <w:szCs w:val="18"/>
        </w:rPr>
        <w:t xml:space="preserve">Jongseon Choe, </w:t>
      </w:r>
      <w:r w:rsidRPr="002B0F16">
        <w:rPr>
          <w:rFonts w:ascii="Arial" w:eastAsia="Arial Unicode MS" w:hAnsi="Arial" w:cs="Arial"/>
          <w:kern w:val="0"/>
          <w:sz w:val="18"/>
          <w:szCs w:val="18"/>
        </w:rPr>
        <w:t>PhD, Kangwon National University, South Korea</w:t>
      </w:r>
    </w:p>
    <w:p w:rsidR="00085297" w:rsidRPr="002B0F16" w:rsidRDefault="00085297" w:rsidP="00085297">
      <w:pPr>
        <w:wordWrap/>
        <w:adjustRightInd w:val="0"/>
        <w:spacing w:after="0" w:line="240" w:lineRule="auto"/>
        <w:jc w:val="left"/>
        <w:rPr>
          <w:rFonts w:ascii="Arial" w:eastAsia="Arial Unicode MS" w:hAnsi="Arial" w:cs="Arial"/>
          <w:kern w:val="0"/>
          <w:sz w:val="18"/>
          <w:szCs w:val="18"/>
        </w:rPr>
      </w:pPr>
      <w:r w:rsidRPr="002B0F16">
        <w:rPr>
          <w:rFonts w:ascii="Arial" w:eastAsia="Arial Unicode MS" w:hAnsi="Arial" w:cs="Arial"/>
          <w:kern w:val="0"/>
          <w:sz w:val="18"/>
          <w:szCs w:val="18"/>
        </w:rPr>
        <w:t xml:space="preserve">Jihoon Park, MS, </w:t>
      </w:r>
      <w:r w:rsidRPr="002B0F16">
        <w:rPr>
          <w:rFonts w:ascii="Arial" w:eastAsia="Arial Unicode MS" w:hAnsi="Arial" w:cs="Arial"/>
          <w:kern w:val="0"/>
          <w:sz w:val="18"/>
          <w:szCs w:val="18"/>
        </w:rPr>
        <w:t>Kangwon National University, South Korea</w:t>
      </w:r>
    </w:p>
    <w:p w:rsidR="00085297" w:rsidRPr="002B0F16" w:rsidRDefault="00085297" w:rsidP="00AE54C3">
      <w:pPr>
        <w:wordWrap/>
        <w:adjustRightInd w:val="0"/>
        <w:spacing w:after="0" w:line="240" w:lineRule="auto"/>
        <w:jc w:val="left"/>
        <w:rPr>
          <w:rFonts w:ascii="Arial" w:eastAsia="Arial Unicode MS" w:hAnsi="Arial" w:cs="Arial"/>
          <w:sz w:val="18"/>
          <w:szCs w:val="18"/>
        </w:rPr>
      </w:pPr>
    </w:p>
    <w:p w:rsidR="002B0F16" w:rsidRPr="002B0F16" w:rsidRDefault="002B0F16" w:rsidP="00AE54C3">
      <w:pPr>
        <w:wordWrap/>
        <w:adjustRightInd w:val="0"/>
        <w:spacing w:after="0" w:line="240" w:lineRule="auto"/>
        <w:jc w:val="left"/>
        <w:rPr>
          <w:rFonts w:ascii="Arial" w:eastAsia="Arial Unicode MS" w:hAnsi="Arial" w:cs="Arial"/>
          <w:sz w:val="18"/>
          <w:szCs w:val="18"/>
        </w:rPr>
        <w:sectPr w:rsidR="002B0F16" w:rsidRPr="002B0F16">
          <w:pgSz w:w="11906" w:h="16838"/>
          <w:pgMar w:top="1701" w:right="1440" w:bottom="1440" w:left="1440" w:header="851" w:footer="992" w:gutter="0"/>
          <w:cols w:space="425"/>
          <w:docGrid w:linePitch="360"/>
        </w:sectPr>
      </w:pPr>
    </w:p>
    <w:p w:rsidR="002B0F16" w:rsidRDefault="002B0F16" w:rsidP="00AE54C3">
      <w:pPr>
        <w:wordWrap/>
        <w:adjustRightInd w:val="0"/>
        <w:spacing w:after="0" w:line="240" w:lineRule="auto"/>
        <w:jc w:val="left"/>
        <w:rPr>
          <w:rFonts w:ascii="Arial" w:eastAsia="Arial Unicode MS" w:hAnsi="Arial" w:cs="Arial" w:hint="eastAsia"/>
          <w:sz w:val="24"/>
          <w:szCs w:val="24"/>
        </w:rPr>
        <w:sectPr w:rsidR="002B0F16" w:rsidSect="002B0F16">
          <w:type w:val="continuous"/>
          <w:pgSz w:w="11906" w:h="16838"/>
          <w:pgMar w:top="1701" w:right="1440" w:bottom="1440" w:left="1440" w:header="851" w:footer="992" w:gutter="0"/>
          <w:cols w:num="2" w:space="426"/>
          <w:docGrid w:linePitch="360"/>
        </w:sectPr>
      </w:pPr>
    </w:p>
    <w:p w:rsidR="00085297" w:rsidRDefault="002B0F16" w:rsidP="00AE54C3">
      <w:pPr>
        <w:wordWrap/>
        <w:adjustRightInd w:val="0"/>
        <w:spacing w:after="0" w:line="240" w:lineRule="auto"/>
        <w:jc w:val="left"/>
        <w:rPr>
          <w:rFonts w:ascii="Arial" w:eastAsia="Arial Unicode MS" w:hAnsi="Arial" w:cs="Arial"/>
          <w:szCs w:val="20"/>
        </w:rPr>
      </w:pPr>
      <w:r w:rsidRPr="002B0F16">
        <w:rPr>
          <w:rFonts w:ascii="Arial" w:eastAsia="Arial Unicode MS" w:hAnsi="Arial" w:cs="Arial" w:hint="eastAsia"/>
          <w:szCs w:val="20"/>
        </w:rPr>
        <w:lastRenderedPageBreak/>
        <w:t>Abs</w:t>
      </w:r>
      <w:r w:rsidRPr="002B0F16">
        <w:rPr>
          <w:rFonts w:ascii="Arial" w:eastAsia="Arial Unicode MS" w:hAnsi="Arial" w:cs="Arial"/>
          <w:szCs w:val="20"/>
        </w:rPr>
        <w:t>t</w:t>
      </w:r>
      <w:r w:rsidRPr="002B0F16">
        <w:rPr>
          <w:rFonts w:ascii="Arial" w:eastAsia="Arial Unicode MS" w:hAnsi="Arial" w:cs="Arial" w:hint="eastAsia"/>
          <w:szCs w:val="20"/>
        </w:rPr>
        <w:t>ract</w:t>
      </w:r>
      <w:r>
        <w:rPr>
          <w:rFonts w:ascii="Arial" w:eastAsia="Arial Unicode MS" w:hAnsi="Arial" w:cs="Arial"/>
          <w:szCs w:val="20"/>
        </w:rPr>
        <w:tab/>
      </w:r>
    </w:p>
    <w:p w:rsidR="002B0F16" w:rsidRDefault="002B0F16" w:rsidP="00AE54C3">
      <w:pPr>
        <w:wordWrap/>
        <w:adjustRightInd w:val="0"/>
        <w:spacing w:after="0" w:line="240" w:lineRule="auto"/>
        <w:jc w:val="left"/>
        <w:rPr>
          <w:rFonts w:ascii="Arial" w:eastAsia="Arial Unicode MS" w:hAnsi="Arial" w:cs="Arial"/>
          <w:szCs w:val="20"/>
        </w:rPr>
      </w:pPr>
    </w:p>
    <w:p w:rsidR="002B0F16" w:rsidRDefault="002B0F16" w:rsidP="002B0F16">
      <w:pPr>
        <w:spacing w:line="276" w:lineRule="auto"/>
        <w:rPr>
          <w:rFonts w:ascii="Tw Cen MT" w:eastAsiaTheme="minorHAnsi" w:hAnsi="Tw Cen MT" w:cs="Times New Roman"/>
          <w:szCs w:val="20"/>
        </w:rPr>
      </w:pPr>
      <w:r w:rsidRPr="002B06FC">
        <w:rPr>
          <w:rFonts w:ascii="Tw Cen MT" w:eastAsia="휴먼매직체" w:hAnsi="Tw Cen MT" w:cs="Times New Roman"/>
          <w:color w:val="000000" w:themeColor="text1"/>
          <w:kern w:val="0"/>
          <w:szCs w:val="20"/>
        </w:rPr>
        <w:t xml:space="preserve">Prostaglandins (PGs) are recognized as important immune regulators. Using human follicular dendritic cell (FDC)-like HK cells, we have investigated the immunoregulatory role of PGs and their production mechanisms. </w:t>
      </w:r>
      <w:r w:rsidRPr="002B06FC">
        <w:rPr>
          <w:rFonts w:ascii="Tw Cen MT" w:hAnsi="Tw Cen MT" w:cs="Times New Roman"/>
          <w:szCs w:val="20"/>
        </w:rPr>
        <w:t xml:space="preserve">The present study was aimed at determining the role of </w:t>
      </w:r>
      <w:r w:rsidRPr="002B06FC">
        <w:rPr>
          <w:rFonts w:ascii="Tw Cen MT" w:eastAsiaTheme="minorHAnsi" w:hAnsi="Tw Cen MT" w:cs="Times New Roman"/>
          <w:szCs w:val="20"/>
        </w:rPr>
        <w:t>TGF-</w:t>
      </w:r>
      <w:r w:rsidRPr="002B06FC">
        <w:rPr>
          <w:rFonts w:ascii="Calibri" w:eastAsiaTheme="minorHAnsi" w:hAnsi="Calibri" w:cs="Calibri"/>
          <w:szCs w:val="20"/>
        </w:rPr>
        <w:t>β</w:t>
      </w:r>
      <w:r w:rsidRPr="002B06FC">
        <w:rPr>
          <w:rFonts w:ascii="Tw Cen MT" w:eastAsiaTheme="minorHAnsi" w:hAnsi="Tw Cen MT" w:cs="Times New Roman"/>
          <w:szCs w:val="20"/>
        </w:rPr>
        <w:t xml:space="preserve"> in IL-1</w:t>
      </w:r>
      <w:r w:rsidRPr="002B06FC">
        <w:rPr>
          <w:rFonts w:ascii="Calibri" w:eastAsiaTheme="minorHAnsi" w:hAnsi="Calibri" w:cs="Calibri"/>
          <w:szCs w:val="20"/>
        </w:rPr>
        <w:t>β</w:t>
      </w:r>
      <w:r w:rsidRPr="002B06FC">
        <w:rPr>
          <w:rFonts w:ascii="Tw Cen MT" w:eastAsiaTheme="minorHAnsi" w:hAnsi="Tw Cen MT" w:cs="Times New Roman"/>
          <w:szCs w:val="20"/>
        </w:rPr>
        <w:t>-induced cyclooxygenase-2 (COX-2) expression by immunoblotting. COX-2 is the key enzyme responsible for PG production in HK cells. TGF-</w:t>
      </w:r>
      <w:r w:rsidRPr="002B06FC">
        <w:rPr>
          <w:rFonts w:ascii="Calibri" w:eastAsiaTheme="minorHAnsi" w:hAnsi="Calibri" w:cs="Calibri"/>
          <w:szCs w:val="20"/>
        </w:rPr>
        <w:t>β</w:t>
      </w:r>
      <w:r w:rsidRPr="002B06FC">
        <w:rPr>
          <w:rFonts w:ascii="Tw Cen MT" w:eastAsiaTheme="minorHAnsi" w:hAnsi="Tw Cen MT" w:cs="Times New Roman"/>
          <w:szCs w:val="20"/>
        </w:rPr>
        <w:t>, when added simultaneously with IL-1</w:t>
      </w:r>
      <w:r w:rsidRPr="002B06FC">
        <w:rPr>
          <w:rFonts w:ascii="Calibri" w:eastAsiaTheme="minorHAnsi" w:hAnsi="Calibri" w:cs="Calibri"/>
          <w:szCs w:val="20"/>
        </w:rPr>
        <w:t>β</w:t>
      </w:r>
      <w:r w:rsidRPr="002B06FC">
        <w:rPr>
          <w:rFonts w:ascii="Tw Cen MT" w:eastAsiaTheme="minorHAnsi" w:hAnsi="Tw Cen MT" w:cs="Times New Roman"/>
          <w:szCs w:val="20"/>
        </w:rPr>
        <w:t>, gave rise to an additive effect on COX-2 expression in a dose-dependent manner. However, TGF-</w:t>
      </w:r>
      <w:r w:rsidRPr="002B06FC">
        <w:rPr>
          <w:rFonts w:ascii="Calibri" w:eastAsiaTheme="minorHAnsi" w:hAnsi="Calibri" w:cs="Calibri"/>
          <w:szCs w:val="20"/>
        </w:rPr>
        <w:t>β</w:t>
      </w:r>
      <w:r w:rsidRPr="002B06FC">
        <w:rPr>
          <w:rFonts w:ascii="Tw Cen MT" w:eastAsiaTheme="minorHAnsi" w:hAnsi="Tw Cen MT" w:cs="Times New Roman"/>
          <w:szCs w:val="20"/>
        </w:rPr>
        <w:t xml:space="preserve"> inhibited IL-1</w:t>
      </w:r>
      <w:r w:rsidRPr="002B06FC">
        <w:rPr>
          <w:rFonts w:ascii="Calibri" w:eastAsiaTheme="minorHAnsi" w:hAnsi="Calibri" w:cs="Calibri"/>
          <w:szCs w:val="20"/>
        </w:rPr>
        <w:t>β</w:t>
      </w:r>
      <w:r w:rsidRPr="002B06FC">
        <w:rPr>
          <w:rFonts w:ascii="Tw Cen MT" w:eastAsiaTheme="minorHAnsi" w:hAnsi="Tw Cen MT" w:cs="Times New Roman"/>
          <w:szCs w:val="20"/>
        </w:rPr>
        <w:t>-stimulated COX-2 expression when it was added at least 12 h before IL-1</w:t>
      </w:r>
      <w:r w:rsidRPr="002B06FC">
        <w:rPr>
          <w:rFonts w:ascii="Calibri" w:eastAsiaTheme="minorHAnsi" w:hAnsi="Calibri" w:cs="Calibri"/>
          <w:szCs w:val="20"/>
        </w:rPr>
        <w:t>β</w:t>
      </w:r>
      <w:r w:rsidRPr="002B06FC">
        <w:rPr>
          <w:rFonts w:ascii="Tw Cen MT" w:eastAsiaTheme="minorHAnsi" w:hAnsi="Tw Cen MT" w:cs="Times New Roman"/>
          <w:szCs w:val="20"/>
        </w:rPr>
        <w:t xml:space="preserve"> addition. The inhibitory effect of TGF-</w:t>
      </w:r>
      <w:r w:rsidRPr="002B06FC">
        <w:rPr>
          <w:rFonts w:ascii="Calibri" w:eastAsiaTheme="minorHAnsi" w:hAnsi="Calibri" w:cs="Calibri"/>
          <w:szCs w:val="20"/>
        </w:rPr>
        <w:t>β</w:t>
      </w:r>
      <w:r w:rsidRPr="002B06FC">
        <w:rPr>
          <w:rFonts w:ascii="Tw Cen MT" w:eastAsiaTheme="minorHAnsi" w:hAnsi="Tw Cen MT" w:cs="Times New Roman"/>
          <w:szCs w:val="20"/>
        </w:rPr>
        <w:t xml:space="preserve"> was specific to IL-1</w:t>
      </w:r>
      <w:r w:rsidRPr="002B06FC">
        <w:rPr>
          <w:rFonts w:ascii="Calibri" w:eastAsiaTheme="minorHAnsi" w:hAnsi="Calibri" w:cs="Calibri"/>
          <w:szCs w:val="20"/>
        </w:rPr>
        <w:t>β</w:t>
      </w:r>
      <w:r w:rsidRPr="002B06FC">
        <w:rPr>
          <w:rFonts w:ascii="Tw Cen MT" w:eastAsiaTheme="minorHAnsi" w:hAnsi="Tw Cen MT" w:cs="Times New Roman"/>
          <w:szCs w:val="20"/>
        </w:rPr>
        <w:t>-induced COX-2 expression in HK cells. The stimulating and inhibitory effects of TGF-</w:t>
      </w:r>
      <w:r w:rsidRPr="002B06FC">
        <w:rPr>
          <w:rFonts w:ascii="Calibri" w:eastAsiaTheme="minorHAnsi" w:hAnsi="Calibri" w:cs="Calibri"/>
          <w:szCs w:val="20"/>
        </w:rPr>
        <w:t>β</w:t>
      </w:r>
      <w:r w:rsidRPr="002B06FC">
        <w:rPr>
          <w:rFonts w:ascii="Tw Cen MT" w:eastAsiaTheme="minorHAnsi" w:hAnsi="Tw Cen MT" w:cs="Times New Roman"/>
          <w:szCs w:val="20"/>
        </w:rPr>
        <w:t xml:space="preserve"> were reproduced in IL-1</w:t>
      </w:r>
      <w:r w:rsidRPr="002B06FC">
        <w:rPr>
          <w:rFonts w:ascii="Calibri" w:eastAsiaTheme="minorHAnsi" w:hAnsi="Calibri" w:cs="Calibri"/>
          <w:szCs w:val="20"/>
        </w:rPr>
        <w:t>β</w:t>
      </w:r>
      <w:r w:rsidRPr="002B06FC">
        <w:rPr>
          <w:rFonts w:ascii="Tw Cen MT" w:eastAsiaTheme="minorHAnsi" w:hAnsi="Tw Cen MT" w:cs="Times New Roman"/>
          <w:szCs w:val="20"/>
        </w:rPr>
        <w:t>-stimulated PG production. Based on our previous results of the essential requirement of ERK and p38 MAPKs in TGF-</w:t>
      </w:r>
      <w:r w:rsidRPr="002B06FC">
        <w:rPr>
          <w:rFonts w:ascii="Calibri" w:eastAsiaTheme="minorHAnsi" w:hAnsi="Calibri" w:cs="Calibri"/>
          <w:szCs w:val="20"/>
        </w:rPr>
        <w:t>β</w:t>
      </w:r>
      <w:r w:rsidRPr="002B06FC">
        <w:rPr>
          <w:rFonts w:ascii="Tw Cen MT" w:eastAsiaTheme="minorHAnsi" w:hAnsi="Tw Cen MT" w:cs="Times New Roman"/>
          <w:szCs w:val="20"/>
        </w:rPr>
        <w:t>-induced COX-2 expression, we examined whether the differential activation of these MAPKs would underlie the opposing activities of TGF-</w:t>
      </w:r>
      <w:r w:rsidRPr="002B06FC">
        <w:rPr>
          <w:rFonts w:ascii="Calibri" w:eastAsiaTheme="minorHAnsi" w:hAnsi="Calibri" w:cs="Calibri"/>
          <w:szCs w:val="20"/>
        </w:rPr>
        <w:t>β</w:t>
      </w:r>
      <w:r w:rsidRPr="002B06FC">
        <w:rPr>
          <w:rFonts w:ascii="Tw Cen MT" w:eastAsiaTheme="minorHAnsi" w:hAnsi="Tw Cen MT" w:cs="Times New Roman"/>
          <w:szCs w:val="20"/>
        </w:rPr>
        <w:t>. The phosphorylation of ERK and p38 MAPKs was indeed enhanced or suppressed by the simultaneous treatment or pre-treatment, respectively. These results suggest that TGF-</w:t>
      </w:r>
      <w:r w:rsidRPr="002B06FC">
        <w:rPr>
          <w:rFonts w:ascii="Calibri" w:eastAsiaTheme="minorHAnsi" w:hAnsi="Calibri" w:cs="Calibri"/>
          <w:szCs w:val="20"/>
        </w:rPr>
        <w:t>β</w:t>
      </w:r>
      <w:r w:rsidRPr="002B06FC">
        <w:rPr>
          <w:rFonts w:ascii="Tw Cen MT" w:eastAsiaTheme="minorHAnsi" w:hAnsi="Tw Cen MT" w:cs="Times New Roman"/>
          <w:szCs w:val="20"/>
        </w:rPr>
        <w:t xml:space="preserve"> exerts opposing effects on IL-1</w:t>
      </w:r>
      <w:r w:rsidRPr="002B06FC">
        <w:rPr>
          <w:rFonts w:ascii="Calibri" w:eastAsiaTheme="minorHAnsi" w:hAnsi="Calibri" w:cs="Calibri"/>
          <w:szCs w:val="20"/>
        </w:rPr>
        <w:t>β</w:t>
      </w:r>
      <w:r w:rsidRPr="002B06FC">
        <w:rPr>
          <w:rFonts w:ascii="Tw Cen MT" w:eastAsiaTheme="minorHAnsi" w:hAnsi="Tw Cen MT" w:cs="Times New Roman"/>
          <w:szCs w:val="20"/>
        </w:rPr>
        <w:t>-induced COX-2 expression in HK cells by differentially regulating activation of ERK and p38 MAPKs.</w:t>
      </w:r>
    </w:p>
    <w:p w:rsidR="002B06FC" w:rsidRDefault="002B06FC" w:rsidP="002B0F16">
      <w:pPr>
        <w:spacing w:line="276" w:lineRule="auto"/>
        <w:rPr>
          <w:rFonts w:ascii="Tw Cen MT" w:eastAsiaTheme="minorHAnsi" w:hAnsi="Tw Cen MT" w:cs="Times New Roman"/>
          <w:szCs w:val="20"/>
        </w:rPr>
      </w:pPr>
    </w:p>
    <w:p w:rsidR="002B06FC" w:rsidRPr="002B06FC" w:rsidRDefault="002B06FC" w:rsidP="002B0F16">
      <w:pPr>
        <w:spacing w:line="276" w:lineRule="auto"/>
        <w:rPr>
          <w:rFonts w:ascii="Tw Cen MT" w:eastAsiaTheme="minorHAnsi" w:hAnsi="Tw Cen MT" w:cs="Times New Roman"/>
          <w:szCs w:val="20"/>
        </w:rPr>
      </w:pPr>
      <w:r>
        <w:rPr>
          <w:rFonts w:ascii="Tw Cen MT" w:eastAsia="Arial Unicode MS" w:hAnsi="Tw Cen MT" w:cs="Arial" w:hint="eastAsia"/>
          <w:noProof/>
          <w:sz w:val="18"/>
          <w:szCs w:val="18"/>
        </w:rPr>
        <mc:AlternateContent>
          <mc:Choice Requires="wps">
            <w:drawing>
              <wp:anchor distT="0" distB="0" distL="114300" distR="114300" simplePos="0" relativeHeight="251659264" behindDoc="0" locked="0" layoutInCell="1" allowOverlap="1" wp14:anchorId="7818A9CA" wp14:editId="6536A065">
                <wp:simplePos x="0" y="0"/>
                <wp:positionH relativeFrom="margin">
                  <wp:posOffset>1056005</wp:posOffset>
                </wp:positionH>
                <wp:positionV relativeFrom="paragraph">
                  <wp:posOffset>180010</wp:posOffset>
                </wp:positionV>
                <wp:extent cx="3591560" cy="14605"/>
                <wp:effectExtent l="0" t="0" r="27940" b="23495"/>
                <wp:wrapNone/>
                <wp:docPr id="4" name="직선 연결선 4"/>
                <wp:cNvGraphicFramePr/>
                <a:graphic xmlns:a="http://schemas.openxmlformats.org/drawingml/2006/main">
                  <a:graphicData uri="http://schemas.microsoft.com/office/word/2010/wordprocessingShape">
                    <wps:wsp>
                      <wps:cNvCnPr/>
                      <wps:spPr>
                        <a:xfrm flipV="1">
                          <a:off x="0" y="0"/>
                          <a:ext cx="3591560" cy="1460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EE8D9D" id="직선 연결선 4"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3.15pt,14.15pt" to="365.9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UT3QEAAOADAAAOAAAAZHJzL2Uyb0RvYy54bWysU02P0zAQvSPxHyzfaZKlrdio6R52BRcE&#10;FV93rzNuLPlLtmnSIxL/gSs3rit+FuqPYOxkw2oXIYG4WGPPvOc3z+PNxaAVOYAP0pqGVouSEjDc&#10;ttLsG/r+3fMnzygJkZmWKWugoUcI9GL7+NGmdzWc2c6qFjxBEhPq3jW0i9HVRRF4B5qFhXVgMCms&#10;1yzi1u+L1rMe2bUqzspyXfTWt85bDiHg6dWYpNvMLwTw+FqIAJGohqK2mFef1+u0FtsNq/eeuU7y&#10;SQb7BxWaSYOXzlRXLDLy0csHVFpyb4MVccGtLqwQkkPuAbupynvdvO2Yg9wLmhPcbFP4f7T81WHn&#10;iWwbuqTEMI1PdPr26fT5Kzl9ufnx/SZFy+RS70KNxZdm56ddcDufWh6E10Qo6T7gAGQTsC0yZI+P&#10;s8cwRMLx8OnqvFqt8Sk45qrlulwl9mKkSXTOh/gCrCYpaKiSJlnAanZ4GeJYeluSjpUhPRKdl6v8&#10;mEXSOSrLUTwqGMvegMA+UcGoMU8YXCpPDgxng3EOJlaTFmWwOsGEVGoGllnHH4FTfYJCnr6/Ac+I&#10;fLM1cQZraaz/3e1xuJUsxnq08k7fKby27TG/WU7gGGW3p5FPc3p3n+G/Pub2JwAAAP//AwBQSwME&#10;FAAGAAgAAAAhAPUgqk3fAAAACQEAAA8AAABkcnMvZG93bnJldi54bWxMj8tOwzAQRfdI/IM1SOyo&#10;3UZySxqnQvTBghWFD3DjaRLVjxA7bejXM6zoanQ1R3fOFKvRWXbGPrbBK5hOBDD0VTCtrxV8fW6f&#10;FsBi0t5oGzwq+MEIq/L+rtC5CRf/ged9qhmV+JhrBU1KXc55rBp0Ok5Ch552x9A7nSj2NTe9vlC5&#10;s3wmhOROt54uNLrD1war035wCjZizu1bW6/lafu92V35+n03XJV6fBhflsASjukfhj99UoeSnA5h&#10;8CYyS1nKjFAFswVNAubZ9BnYQUEmJPCy4LcflL8AAAD//wMAUEsBAi0AFAAGAAgAAAAhALaDOJL+&#10;AAAA4QEAABMAAAAAAAAAAAAAAAAAAAAAAFtDb250ZW50X1R5cGVzXS54bWxQSwECLQAUAAYACAAA&#10;ACEAOP0h/9YAAACUAQAACwAAAAAAAAAAAAAAAAAvAQAAX3JlbHMvLnJlbHNQSwECLQAUAAYACAAA&#10;ACEAZ0k1E90BAADgAwAADgAAAAAAAAAAAAAAAAAuAgAAZHJzL2Uyb0RvYy54bWxQSwECLQAUAAYA&#10;CAAAACEA9SCqTd8AAAAJAQAADwAAAAAAAAAAAAAAAAA3BAAAZHJzL2Rvd25yZXYueG1sUEsFBgAA&#10;AAAEAAQA8wAAAEMFAAAAAA==&#10;" strokecolor="#5b9bd5 [3204]" strokeweight="1.5pt">
                <v:stroke joinstyle="miter"/>
                <w10:wrap anchorx="margin"/>
              </v:line>
            </w:pict>
          </mc:Fallback>
        </mc:AlternateContent>
      </w:r>
    </w:p>
    <w:p w:rsidR="006F61A6" w:rsidRPr="006F61A6" w:rsidRDefault="00847650" w:rsidP="006F61A6">
      <w:pPr>
        <w:wordWrap/>
        <w:adjustRightInd w:val="0"/>
        <w:jc w:val="left"/>
        <w:rPr>
          <w:rFonts w:ascii="Tw Cen MT" w:eastAsia="Arial Unicode MS" w:hAnsi="Tw Cen MT" w:cs="Arial"/>
          <w:sz w:val="18"/>
          <w:szCs w:val="18"/>
        </w:rPr>
      </w:pPr>
      <w:r>
        <w:rPr>
          <w:rFonts w:ascii="Arial" w:eastAsia="Arial Unicode MS" w:hAnsi="Arial" w:cs="Arial" w:hint="eastAsia"/>
          <w:noProof/>
          <w:szCs w:val="20"/>
        </w:rPr>
        <w:lastRenderedPageBreak/>
        <w:drawing>
          <wp:inline distT="0" distB="0" distL="0" distR="0" wp14:anchorId="23D1A3FA" wp14:editId="3C8C7E12">
            <wp:extent cx="2730500" cy="169799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t.bmp"/>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30500" cy="1697990"/>
                    </a:xfrm>
                    <a:prstGeom prst="rect">
                      <a:avLst/>
                    </a:prstGeom>
                  </pic:spPr>
                </pic:pic>
              </a:graphicData>
            </a:graphic>
          </wp:inline>
        </w:drawing>
      </w:r>
      <w:r w:rsidR="002B0F16" w:rsidRPr="006F61A6">
        <w:rPr>
          <w:rFonts w:ascii="Tw Cen MT" w:eastAsia="Arial Unicode MS" w:hAnsi="Tw Cen MT" w:cs="Arial"/>
          <w:sz w:val="18"/>
          <w:szCs w:val="18"/>
        </w:rPr>
        <w:t xml:space="preserve">Figure 1: </w:t>
      </w:r>
      <w:r w:rsidR="006F61A6" w:rsidRPr="006F61A6">
        <w:rPr>
          <w:rFonts w:ascii="Tw Cen MT" w:eastAsia="Arial Unicode MS" w:hAnsi="Tw Cen MT" w:cs="Arial"/>
          <w:sz w:val="18"/>
          <w:szCs w:val="18"/>
        </w:rPr>
        <w:t>TGF-</w:t>
      </w:r>
      <w:r w:rsidR="006F61A6" w:rsidRPr="006F61A6">
        <w:rPr>
          <w:rFonts w:ascii="Calibri" w:eastAsia="Arial Unicode MS" w:hAnsi="Calibri" w:cs="Calibri"/>
          <w:sz w:val="18"/>
          <w:szCs w:val="18"/>
        </w:rPr>
        <w:t>β</w:t>
      </w:r>
      <w:r w:rsidR="006F61A6" w:rsidRPr="006F61A6">
        <w:rPr>
          <w:rFonts w:ascii="Tw Cen MT" w:eastAsia="Arial Unicode MS" w:hAnsi="Tw Cen MT" w:cs="Arial"/>
          <w:sz w:val="18"/>
          <w:szCs w:val="18"/>
        </w:rPr>
        <w:t xml:space="preserve"> has an opposite effect on IL-1</w:t>
      </w:r>
      <w:r w:rsidR="006F61A6" w:rsidRPr="006F61A6">
        <w:rPr>
          <w:rFonts w:ascii="Calibri" w:eastAsia="Arial Unicode MS" w:hAnsi="Calibri" w:cs="Calibri"/>
          <w:sz w:val="18"/>
          <w:szCs w:val="18"/>
        </w:rPr>
        <w:t>β</w:t>
      </w:r>
      <w:r w:rsidR="006F61A6" w:rsidRPr="006F61A6">
        <w:rPr>
          <w:rFonts w:ascii="Tw Cen MT" w:eastAsia="Arial Unicode MS" w:hAnsi="Tw Cen MT" w:cs="Arial"/>
          <w:sz w:val="18"/>
          <w:szCs w:val="18"/>
        </w:rPr>
        <w:t>-induced COX-2 expression by controlling phosphorylation levels of ERK and p38 MAPK depending on the treatment time.</w:t>
      </w:r>
    </w:p>
    <w:p w:rsidR="006F61A6" w:rsidRDefault="006F61A6" w:rsidP="006F61A6">
      <w:pPr>
        <w:wordWrap/>
        <w:adjustRightInd w:val="0"/>
        <w:spacing w:after="0" w:line="240" w:lineRule="auto"/>
        <w:jc w:val="left"/>
        <w:rPr>
          <w:rFonts w:ascii="Arial" w:eastAsia="Arial Unicode MS" w:hAnsi="Arial" w:cs="Arial"/>
          <w:szCs w:val="20"/>
        </w:rPr>
      </w:pPr>
      <w:r>
        <w:rPr>
          <w:rFonts w:ascii="Arial" w:eastAsia="Arial Unicode MS" w:hAnsi="Arial" w:cs="Arial" w:hint="eastAsia"/>
          <w:szCs w:val="20"/>
        </w:rPr>
        <w:t>Recent Publications</w:t>
      </w:r>
    </w:p>
    <w:p w:rsidR="002B0F16" w:rsidRDefault="002B0F16" w:rsidP="00AE54C3">
      <w:pPr>
        <w:wordWrap/>
        <w:adjustRightInd w:val="0"/>
        <w:spacing w:after="0" w:line="240" w:lineRule="auto"/>
        <w:jc w:val="left"/>
        <w:rPr>
          <w:rFonts w:ascii="Tw Cen MT" w:eastAsia="Arial Unicode MS" w:hAnsi="Tw Cen MT" w:cs="Arial"/>
          <w:sz w:val="18"/>
          <w:szCs w:val="18"/>
        </w:rPr>
      </w:pPr>
    </w:p>
    <w:p w:rsidR="006F61A6" w:rsidRPr="00847650" w:rsidRDefault="00495BD0" w:rsidP="006F61A6">
      <w:pPr>
        <w:pStyle w:val="a5"/>
        <w:tabs>
          <w:tab w:val="left" w:pos="-26028"/>
          <w:tab w:val="left" w:pos="-25228"/>
          <w:tab w:val="left" w:pos="-24428"/>
          <w:tab w:val="left" w:pos="-23628"/>
          <w:tab w:val="left" w:pos="-22828"/>
          <w:tab w:val="left" w:pos="-22028"/>
          <w:tab w:val="left" w:pos="-21228"/>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288" w:lineRule="auto"/>
        <w:rPr>
          <w:rFonts w:ascii="Tw Cen MT" w:hAnsi="Tw Cen MT"/>
          <w:sz w:val="18"/>
          <w:szCs w:val="18"/>
        </w:rPr>
      </w:pPr>
      <w:r w:rsidRPr="00847650">
        <w:rPr>
          <w:rFonts w:ascii="Tw Cen MT" w:eastAsia="한양신명조" w:hAnsi="Tw Cen MT" w:cs="Times New Roman"/>
          <w:bCs/>
          <w:kern w:val="2"/>
          <w:sz w:val="18"/>
          <w:szCs w:val="18"/>
        </w:rPr>
        <w:t xml:space="preserve">1. </w:t>
      </w:r>
      <w:r w:rsidR="006F61A6" w:rsidRPr="00847650">
        <w:rPr>
          <w:rFonts w:ascii="Tw Cen MT" w:eastAsia="한양신명조" w:hAnsi="Tw Cen MT" w:cs="Times New Roman"/>
          <w:bCs/>
          <w:kern w:val="2"/>
          <w:sz w:val="18"/>
          <w:szCs w:val="18"/>
        </w:rPr>
        <w:t>Jongseon Choe</w:t>
      </w:r>
      <w:r w:rsidR="006F61A6" w:rsidRPr="00847650">
        <w:rPr>
          <w:rFonts w:ascii="Tw Cen MT" w:eastAsia="한양신명조" w:hAnsi="Tw Cen MT" w:cs="Times New Roman"/>
          <w:bCs/>
          <w:kern w:val="2"/>
          <w:sz w:val="18"/>
          <w:szCs w:val="18"/>
        </w:rPr>
        <w:t xml:space="preserve"> et al. (2016) </w:t>
      </w:r>
      <w:r w:rsidR="006F61A6" w:rsidRPr="00847650">
        <w:rPr>
          <w:rFonts w:ascii="Tw Cen MT" w:eastAsia="한양신명조" w:hAnsi="Tw Cen MT" w:cs="Times New Roman"/>
          <w:kern w:val="2"/>
          <w:sz w:val="18"/>
          <w:szCs w:val="18"/>
        </w:rPr>
        <w:t>Opposing roles of TGF-</w:t>
      </w:r>
      <w:r w:rsidR="006F61A6" w:rsidRPr="00847650">
        <w:rPr>
          <w:rFonts w:ascii="Calibri" w:eastAsia="한양신명조" w:hAnsi="Calibri" w:cs="Calibri"/>
          <w:kern w:val="2"/>
          <w:sz w:val="18"/>
          <w:szCs w:val="18"/>
        </w:rPr>
        <w:t>β</w:t>
      </w:r>
      <w:r w:rsidR="006F61A6" w:rsidRPr="00847650">
        <w:rPr>
          <w:rFonts w:ascii="Tw Cen MT" w:eastAsia="한양신명조" w:hAnsi="Tw Cen MT"/>
          <w:kern w:val="2"/>
          <w:sz w:val="18"/>
          <w:szCs w:val="18"/>
        </w:rPr>
        <w:t xml:space="preserve"> </w:t>
      </w:r>
      <w:r w:rsidR="006F61A6" w:rsidRPr="00847650">
        <w:rPr>
          <w:rFonts w:ascii="Tw Cen MT" w:eastAsia="한양신명조" w:hAnsi="Tw Cen MT" w:cs="Times New Roman"/>
          <w:kern w:val="2"/>
          <w:sz w:val="18"/>
          <w:szCs w:val="18"/>
        </w:rPr>
        <w:t xml:space="preserve">in prostaglandin production by human follicular dendritic cell-like cells. </w:t>
      </w:r>
      <w:r w:rsidR="006F61A6" w:rsidRPr="00847650">
        <w:rPr>
          <w:rFonts w:ascii="Tw Cen MT" w:eastAsia="한양신명조" w:hAnsi="Tw Cen MT" w:cs="Times New Roman"/>
          <w:kern w:val="2"/>
          <w:sz w:val="18"/>
          <w:szCs w:val="18"/>
        </w:rPr>
        <w:t>Molecular Immunology</w:t>
      </w:r>
      <w:r w:rsidR="006F61A6" w:rsidRPr="00847650">
        <w:rPr>
          <w:rFonts w:ascii="Tw Cen MT" w:eastAsia="한양신명조" w:hAnsi="Tw Cen MT"/>
          <w:kern w:val="2"/>
          <w:sz w:val="18"/>
          <w:szCs w:val="18"/>
        </w:rPr>
        <w:t xml:space="preserve"> </w:t>
      </w:r>
      <w:r w:rsidR="006F61A6" w:rsidRPr="00847650">
        <w:rPr>
          <w:rFonts w:ascii="Tw Cen MT" w:eastAsia="한양신명조" w:hAnsi="Tw Cen MT" w:cs="Times New Roman"/>
          <w:kern w:val="2"/>
          <w:sz w:val="18"/>
          <w:szCs w:val="18"/>
        </w:rPr>
        <w:t>76:41-48.</w:t>
      </w:r>
    </w:p>
    <w:p w:rsidR="006F61A6" w:rsidRPr="00847650" w:rsidRDefault="00495BD0" w:rsidP="006F61A6">
      <w:pPr>
        <w:pStyle w:val="a5"/>
        <w:tabs>
          <w:tab w:val="left" w:pos="-26028"/>
          <w:tab w:val="left" w:pos="-25228"/>
          <w:tab w:val="left" w:pos="-24428"/>
          <w:tab w:val="left" w:pos="-23628"/>
          <w:tab w:val="left" w:pos="-22828"/>
          <w:tab w:val="left" w:pos="-22028"/>
          <w:tab w:val="left" w:pos="-21228"/>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288" w:lineRule="auto"/>
        <w:rPr>
          <w:rFonts w:ascii="Tw Cen MT" w:eastAsia="한양신명조" w:hAnsi="Tw Cen MT" w:cs="Times New Roman"/>
          <w:kern w:val="2"/>
          <w:sz w:val="18"/>
          <w:szCs w:val="18"/>
        </w:rPr>
      </w:pPr>
      <w:r w:rsidRPr="00847650">
        <w:rPr>
          <w:rFonts w:ascii="Tw Cen MT" w:eastAsia="한양신명조" w:hAnsi="Tw Cen MT" w:cs="Times New Roman"/>
          <w:kern w:val="2"/>
          <w:sz w:val="18"/>
          <w:szCs w:val="18"/>
        </w:rPr>
        <w:t xml:space="preserve">2. </w:t>
      </w:r>
      <w:r w:rsidR="006F61A6" w:rsidRPr="00847650">
        <w:rPr>
          <w:rFonts w:ascii="Tw Cen MT" w:eastAsia="한양신명조" w:hAnsi="Tw Cen MT" w:cs="Times New Roman"/>
          <w:kern w:val="2"/>
          <w:sz w:val="18"/>
          <w:szCs w:val="18"/>
        </w:rPr>
        <w:t>Whajung Cho</w:t>
      </w:r>
      <w:r w:rsidR="006F61A6" w:rsidRPr="00847650">
        <w:rPr>
          <w:rFonts w:ascii="Tw Cen MT" w:eastAsia="한양신명조" w:hAnsi="Tw Cen MT" w:cs="Times New Roman"/>
          <w:kern w:val="2"/>
          <w:sz w:val="18"/>
          <w:szCs w:val="18"/>
        </w:rPr>
        <w:t xml:space="preserve"> et al. (</w:t>
      </w:r>
      <w:r w:rsidR="006F61A6" w:rsidRPr="00847650">
        <w:rPr>
          <w:rFonts w:ascii="Tw Cen MT" w:eastAsia="한양신명조" w:hAnsi="Tw Cen MT" w:cs="Times New Roman"/>
          <w:kern w:val="2"/>
          <w:sz w:val="18"/>
          <w:szCs w:val="18"/>
        </w:rPr>
        <w:t>2015</w:t>
      </w:r>
      <w:r w:rsidR="006F61A6" w:rsidRPr="00847650">
        <w:rPr>
          <w:rFonts w:ascii="Tw Cen MT" w:eastAsia="한양신명조" w:hAnsi="Tw Cen MT" w:cs="Times New Roman"/>
          <w:kern w:val="2"/>
          <w:sz w:val="18"/>
          <w:szCs w:val="18"/>
        </w:rPr>
        <w:t>)</w:t>
      </w:r>
      <w:r w:rsidR="006F61A6" w:rsidRPr="00847650">
        <w:rPr>
          <w:rFonts w:ascii="Tw Cen MT" w:eastAsia="한양신명조" w:hAnsi="Tw Cen MT" w:cs="Times New Roman"/>
          <w:kern w:val="2"/>
          <w:sz w:val="18"/>
          <w:szCs w:val="18"/>
        </w:rPr>
        <w:t xml:space="preserve"> Suppres</w:t>
      </w:r>
      <w:r w:rsidR="006F61A6" w:rsidRPr="00847650">
        <w:rPr>
          <w:rFonts w:ascii="Tw Cen MT" w:eastAsia="한양신명조" w:hAnsi="Tw Cen MT" w:cs="Times New Roman"/>
          <w:kern w:val="2"/>
          <w:sz w:val="18"/>
          <w:szCs w:val="18"/>
        </w:rPr>
        <w:t xml:space="preserve">sor of cytokine </w:t>
      </w:r>
      <w:r w:rsidR="006F61A6" w:rsidRPr="00847650">
        <w:rPr>
          <w:rFonts w:ascii="Tw Cen MT" w:eastAsia="한양신명조" w:hAnsi="Tw Cen MT" w:cs="Times New Roman"/>
          <w:kern w:val="2"/>
          <w:sz w:val="18"/>
          <w:szCs w:val="18"/>
        </w:rPr>
        <w:t>signaling 1 is a positive regulator of TGF-</w:t>
      </w:r>
      <w:r w:rsidR="006F61A6" w:rsidRPr="00847650">
        <w:rPr>
          <w:rFonts w:ascii="Calibri" w:eastAsia="한양신명조" w:hAnsi="Calibri" w:cs="Calibri"/>
          <w:kern w:val="2"/>
          <w:sz w:val="18"/>
          <w:szCs w:val="18"/>
        </w:rPr>
        <w:t>β</w:t>
      </w:r>
      <w:r w:rsidR="006F61A6" w:rsidRPr="00847650">
        <w:rPr>
          <w:rFonts w:ascii="Tw Cen MT" w:eastAsia="한양신명조" w:hAnsi="Tw Cen MT" w:cs="Times New Roman"/>
          <w:kern w:val="2"/>
          <w:sz w:val="18"/>
          <w:szCs w:val="18"/>
        </w:rPr>
        <w:t xml:space="preserve">-induced prostaglandin production in human follicular dendritic cell-like cells. </w:t>
      </w:r>
      <w:r w:rsidR="006F61A6" w:rsidRPr="00847650">
        <w:rPr>
          <w:rFonts w:ascii="Tw Cen MT" w:eastAsia="한양신명조" w:hAnsi="Tw Cen MT" w:cs="Times New Roman"/>
          <w:kern w:val="2"/>
          <w:sz w:val="18"/>
          <w:szCs w:val="18"/>
        </w:rPr>
        <w:t>Journal of Immunology</w:t>
      </w:r>
      <w:r w:rsidR="006F61A6" w:rsidRPr="00847650">
        <w:rPr>
          <w:rFonts w:ascii="Tw Cen MT" w:eastAsia="한양신명조" w:hAnsi="Tw Cen MT"/>
          <w:kern w:val="2"/>
          <w:sz w:val="18"/>
          <w:szCs w:val="18"/>
        </w:rPr>
        <w:t xml:space="preserve"> </w:t>
      </w:r>
      <w:r w:rsidR="006F61A6" w:rsidRPr="00847650">
        <w:rPr>
          <w:rFonts w:ascii="Tw Cen MT" w:eastAsia="한양신명조" w:hAnsi="Tw Cen MT" w:cs="Times New Roman"/>
          <w:kern w:val="2"/>
          <w:sz w:val="18"/>
          <w:szCs w:val="18"/>
        </w:rPr>
        <w:t xml:space="preserve">194:4287-4297. </w:t>
      </w:r>
    </w:p>
    <w:p w:rsidR="006F61A6" w:rsidRPr="00847650" w:rsidRDefault="00495BD0" w:rsidP="006F61A6">
      <w:pPr>
        <w:pStyle w:val="a5"/>
        <w:tabs>
          <w:tab w:val="left" w:pos="-26028"/>
          <w:tab w:val="left" w:pos="-25228"/>
          <w:tab w:val="left" w:pos="-24428"/>
          <w:tab w:val="left" w:pos="-23628"/>
          <w:tab w:val="left" w:pos="-22828"/>
          <w:tab w:val="left" w:pos="-22028"/>
          <w:tab w:val="left" w:pos="-21228"/>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288" w:lineRule="auto"/>
        <w:rPr>
          <w:rFonts w:ascii="Tw Cen MT" w:hAnsi="Tw Cen MT"/>
          <w:sz w:val="18"/>
          <w:szCs w:val="18"/>
        </w:rPr>
      </w:pPr>
      <w:r w:rsidRPr="00847650">
        <w:rPr>
          <w:rFonts w:ascii="Tw Cen MT" w:eastAsia="한양신명조" w:hAnsi="Tw Cen MT" w:cs="Times New Roman"/>
          <w:kern w:val="2"/>
          <w:sz w:val="18"/>
          <w:szCs w:val="18"/>
        </w:rPr>
        <w:t xml:space="preserve">3. </w:t>
      </w:r>
      <w:r w:rsidR="006F61A6" w:rsidRPr="00847650">
        <w:rPr>
          <w:rFonts w:ascii="Tw Cen MT" w:eastAsia="한양신명조" w:hAnsi="Tw Cen MT" w:cs="Times New Roman"/>
          <w:kern w:val="2"/>
          <w:sz w:val="18"/>
          <w:szCs w:val="18"/>
        </w:rPr>
        <w:t>Jini Kim</w:t>
      </w:r>
      <w:r w:rsidR="006F61A6" w:rsidRPr="00847650">
        <w:rPr>
          <w:rFonts w:ascii="Tw Cen MT" w:eastAsia="한양신명조" w:hAnsi="Tw Cen MT" w:cs="Times New Roman"/>
          <w:kern w:val="2"/>
          <w:sz w:val="18"/>
          <w:szCs w:val="18"/>
        </w:rPr>
        <w:t xml:space="preserve"> et al. (</w:t>
      </w:r>
      <w:r w:rsidR="006F61A6" w:rsidRPr="00847650">
        <w:rPr>
          <w:rFonts w:ascii="Tw Cen MT" w:eastAsia="한양신명조" w:hAnsi="Tw Cen MT" w:cs="Times New Roman"/>
          <w:kern w:val="2"/>
          <w:sz w:val="18"/>
          <w:szCs w:val="18"/>
        </w:rPr>
        <w:t>2015</w:t>
      </w:r>
      <w:r w:rsidR="006F61A6" w:rsidRPr="00847650">
        <w:rPr>
          <w:rFonts w:ascii="Tw Cen MT" w:eastAsia="한양신명조" w:hAnsi="Tw Cen MT" w:cs="Times New Roman"/>
          <w:kern w:val="2"/>
          <w:sz w:val="18"/>
          <w:szCs w:val="18"/>
        </w:rPr>
        <w:t>)</w:t>
      </w:r>
      <w:r w:rsidR="00847650" w:rsidRPr="00847650">
        <w:rPr>
          <w:rFonts w:ascii="Tw Cen MT" w:eastAsia="한양신명조" w:hAnsi="Tw Cen MT" w:cs="Times New Roman"/>
          <w:kern w:val="2"/>
          <w:sz w:val="18"/>
          <w:szCs w:val="18"/>
        </w:rPr>
        <w:t xml:space="preserve"> </w:t>
      </w:r>
      <w:r w:rsidR="006F61A6" w:rsidRPr="00847650">
        <w:rPr>
          <w:rFonts w:ascii="Tw Cen MT" w:eastAsia="한양신명조" w:hAnsi="Tw Cen MT" w:cs="Times New Roman"/>
          <w:kern w:val="2"/>
          <w:sz w:val="18"/>
          <w:szCs w:val="18"/>
        </w:rPr>
        <w:t>Interferon-</w:t>
      </w:r>
      <w:r w:rsidR="006F61A6" w:rsidRPr="00847650">
        <w:rPr>
          <w:rFonts w:ascii="Calibri" w:eastAsia="한양신명조" w:hAnsi="Calibri" w:cs="Calibri"/>
          <w:kern w:val="2"/>
          <w:sz w:val="18"/>
          <w:szCs w:val="18"/>
        </w:rPr>
        <w:t>γ</w:t>
      </w:r>
      <w:r w:rsidR="006F61A6" w:rsidRPr="00847650">
        <w:rPr>
          <w:rFonts w:ascii="Tw Cen MT" w:eastAsia="한양신명조" w:hAnsi="Tw Cen MT"/>
          <w:kern w:val="2"/>
          <w:sz w:val="18"/>
          <w:szCs w:val="18"/>
        </w:rPr>
        <w:t xml:space="preserve"> </w:t>
      </w:r>
      <w:r w:rsidR="006F61A6" w:rsidRPr="00847650">
        <w:rPr>
          <w:rFonts w:ascii="Tw Cen MT" w:eastAsia="한양신명조" w:hAnsi="Tw Cen MT" w:cs="Times New Roman"/>
          <w:kern w:val="2"/>
          <w:sz w:val="18"/>
          <w:szCs w:val="18"/>
        </w:rPr>
        <w:t>stimulates human follicular dendritic cell-like cells to produce prostaglandins via the JAK-STAT pathway.</w:t>
      </w:r>
      <w:r w:rsidR="006F61A6" w:rsidRPr="00847650">
        <w:rPr>
          <w:rFonts w:ascii="Tw Cen MT" w:eastAsia="한양신명조" w:hAnsi="Tw Cen MT" w:cs="Times New Roman"/>
          <w:kern w:val="2"/>
          <w:sz w:val="18"/>
          <w:szCs w:val="18"/>
        </w:rPr>
        <w:t xml:space="preserve"> </w:t>
      </w:r>
      <w:r w:rsidR="006F61A6" w:rsidRPr="00847650">
        <w:rPr>
          <w:rFonts w:ascii="Tw Cen MT" w:eastAsia="한양신명조" w:hAnsi="Tw Cen MT" w:cs="Times New Roman"/>
          <w:kern w:val="2"/>
          <w:sz w:val="18"/>
          <w:szCs w:val="18"/>
        </w:rPr>
        <w:t>Molecular Immunology</w:t>
      </w:r>
      <w:r w:rsidR="006F61A6" w:rsidRPr="00847650">
        <w:rPr>
          <w:rFonts w:ascii="Tw Cen MT" w:eastAsia="한양신명조" w:hAnsi="Tw Cen MT"/>
          <w:kern w:val="2"/>
          <w:sz w:val="18"/>
          <w:szCs w:val="18"/>
        </w:rPr>
        <w:t xml:space="preserve"> </w:t>
      </w:r>
      <w:r w:rsidR="006F61A6" w:rsidRPr="00847650">
        <w:rPr>
          <w:rFonts w:ascii="Tw Cen MT" w:eastAsia="한양신명조" w:hAnsi="Tw Cen MT" w:cs="Times New Roman"/>
          <w:kern w:val="2"/>
          <w:sz w:val="18"/>
          <w:szCs w:val="18"/>
        </w:rPr>
        <w:t>66:189-196.</w:t>
      </w:r>
    </w:p>
    <w:p w:rsidR="006F61A6" w:rsidRPr="00847650" w:rsidRDefault="00495BD0" w:rsidP="00847650">
      <w:pPr>
        <w:pStyle w:val="a5"/>
        <w:tabs>
          <w:tab w:val="left" w:pos="-26028"/>
          <w:tab w:val="left" w:pos="-25228"/>
          <w:tab w:val="left" w:pos="-24428"/>
          <w:tab w:val="left" w:pos="-23628"/>
          <w:tab w:val="left" w:pos="-22828"/>
          <w:tab w:val="left" w:pos="-22028"/>
          <w:tab w:val="left" w:pos="-21228"/>
          <w:tab w:val="left" w:pos="800"/>
          <w:tab w:val="left" w:pos="1600"/>
          <w:tab w:val="left" w:pos="231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288" w:lineRule="auto"/>
        <w:rPr>
          <w:rFonts w:ascii="Tw Cen MT" w:hAnsi="Tw Cen MT"/>
          <w:sz w:val="18"/>
          <w:szCs w:val="18"/>
        </w:rPr>
      </w:pPr>
      <w:r w:rsidRPr="00847650">
        <w:rPr>
          <w:rFonts w:ascii="Tw Cen MT" w:eastAsia="한양신명조" w:hAnsi="Tw Cen MT" w:cs="Times New Roman"/>
          <w:kern w:val="2"/>
          <w:sz w:val="18"/>
          <w:szCs w:val="18"/>
        </w:rPr>
        <w:t xml:space="preserve">4. </w:t>
      </w:r>
      <w:r w:rsidR="006F61A6" w:rsidRPr="00847650">
        <w:rPr>
          <w:rFonts w:ascii="Tw Cen MT" w:eastAsia="한양신명조" w:hAnsi="Tw Cen MT" w:cs="Times New Roman"/>
          <w:kern w:val="2"/>
          <w:sz w:val="18"/>
          <w:szCs w:val="18"/>
        </w:rPr>
        <w:t>Jini Kim</w:t>
      </w:r>
      <w:r w:rsidR="006F61A6" w:rsidRPr="00847650">
        <w:rPr>
          <w:rFonts w:ascii="Tw Cen MT" w:eastAsia="한양신명조" w:hAnsi="Tw Cen MT" w:cs="Times New Roman"/>
          <w:kern w:val="2"/>
          <w:sz w:val="18"/>
          <w:szCs w:val="18"/>
        </w:rPr>
        <w:t xml:space="preserve"> et al. (</w:t>
      </w:r>
      <w:r w:rsidR="006F61A6" w:rsidRPr="00847650">
        <w:rPr>
          <w:rFonts w:ascii="Tw Cen MT" w:eastAsia="한양신명조" w:hAnsi="Tw Cen MT" w:cs="Times New Roman"/>
          <w:kern w:val="2"/>
          <w:sz w:val="18"/>
          <w:szCs w:val="18"/>
        </w:rPr>
        <w:t>2013</w:t>
      </w:r>
      <w:r w:rsidR="006F61A6" w:rsidRPr="00847650">
        <w:rPr>
          <w:rFonts w:ascii="Tw Cen MT" w:eastAsia="한양신명조" w:hAnsi="Tw Cen MT" w:cs="Times New Roman"/>
          <w:kern w:val="2"/>
          <w:sz w:val="18"/>
          <w:szCs w:val="18"/>
        </w:rPr>
        <w:t>)</w:t>
      </w:r>
      <w:r w:rsidR="00847650" w:rsidRPr="00847650">
        <w:rPr>
          <w:rFonts w:ascii="Tw Cen MT" w:hAnsi="Tw Cen MT"/>
          <w:sz w:val="18"/>
          <w:szCs w:val="18"/>
        </w:rPr>
        <w:t xml:space="preserve"> </w:t>
      </w:r>
      <w:r w:rsidR="006F61A6" w:rsidRPr="00847650">
        <w:rPr>
          <w:rFonts w:ascii="Tw Cen MT" w:eastAsia="한양신명조" w:hAnsi="Tw Cen MT" w:cs="Times New Roman"/>
          <w:kern w:val="2"/>
          <w:sz w:val="18"/>
          <w:szCs w:val="18"/>
        </w:rPr>
        <w:t>Human follicular dendritic cells promote germinal cent</w:t>
      </w:r>
      <w:r w:rsidR="006F61A6" w:rsidRPr="00847650">
        <w:rPr>
          <w:rFonts w:ascii="Tw Cen MT" w:eastAsia="한양신명조" w:hAnsi="Tw Cen MT" w:cs="Times New Roman"/>
          <w:kern w:val="2"/>
          <w:sz w:val="18"/>
          <w:szCs w:val="18"/>
        </w:rPr>
        <w:t xml:space="preserve">er B cell survival by providing </w:t>
      </w:r>
      <w:r w:rsidR="006F61A6" w:rsidRPr="00847650">
        <w:rPr>
          <w:rFonts w:ascii="Tw Cen MT" w:eastAsia="한양신명조" w:hAnsi="Tw Cen MT" w:cs="Times New Roman"/>
          <w:kern w:val="2"/>
          <w:sz w:val="18"/>
          <w:szCs w:val="18"/>
        </w:rPr>
        <w:t>prostaglandins. Molecular Immunology</w:t>
      </w:r>
      <w:r w:rsidR="006F61A6" w:rsidRPr="00847650">
        <w:rPr>
          <w:rFonts w:ascii="Tw Cen MT" w:eastAsia="한양신명조" w:hAnsi="Tw Cen MT"/>
          <w:kern w:val="2"/>
          <w:sz w:val="18"/>
          <w:szCs w:val="18"/>
        </w:rPr>
        <w:t xml:space="preserve"> </w:t>
      </w:r>
      <w:r w:rsidR="006F61A6" w:rsidRPr="00847650">
        <w:rPr>
          <w:rFonts w:ascii="Tw Cen MT" w:eastAsia="한양신명조" w:hAnsi="Tw Cen MT" w:cs="Times New Roman"/>
          <w:kern w:val="2"/>
          <w:sz w:val="18"/>
          <w:szCs w:val="18"/>
        </w:rPr>
        <w:t>55:418-423.</w:t>
      </w:r>
    </w:p>
    <w:p w:rsidR="00D606C3" w:rsidRPr="00847650" w:rsidRDefault="00495BD0" w:rsidP="00FE69E8">
      <w:pPr>
        <w:pStyle w:val="a5"/>
        <w:tabs>
          <w:tab w:val="left" w:pos="-26028"/>
          <w:tab w:val="left" w:pos="-25228"/>
          <w:tab w:val="left" w:pos="-24428"/>
          <w:tab w:val="left" w:pos="-23628"/>
          <w:tab w:val="left" w:pos="-22828"/>
          <w:tab w:val="left" w:pos="-22028"/>
          <w:tab w:val="left" w:pos="-21228"/>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288" w:lineRule="auto"/>
        <w:rPr>
          <w:rFonts w:ascii="Tw Cen MT" w:eastAsia="한양신명조" w:hAnsi="Tw Cen MT" w:cs="Times New Roman"/>
          <w:kern w:val="2"/>
          <w:sz w:val="18"/>
          <w:szCs w:val="18"/>
        </w:rPr>
        <w:sectPr w:rsidR="00D606C3" w:rsidRPr="00847650" w:rsidSect="002B0F16">
          <w:type w:val="continuous"/>
          <w:pgSz w:w="11906" w:h="16838"/>
          <w:pgMar w:top="1701" w:right="1440" w:bottom="1440" w:left="1440" w:header="851" w:footer="992" w:gutter="0"/>
          <w:cols w:num="2" w:space="426"/>
          <w:docGrid w:linePitch="360"/>
        </w:sectPr>
      </w:pPr>
      <w:r w:rsidRPr="00847650">
        <w:rPr>
          <w:rFonts w:ascii="Tw Cen MT" w:eastAsia="한양신명조" w:hAnsi="Tw Cen MT" w:cs="Times New Roman"/>
          <w:kern w:val="2"/>
          <w:sz w:val="18"/>
          <w:szCs w:val="18"/>
          <w:shd w:val="clear" w:color="auto" w:fill="FFFFFF"/>
        </w:rPr>
        <w:t xml:space="preserve">5. </w:t>
      </w:r>
      <w:r w:rsidR="006F61A6" w:rsidRPr="00847650">
        <w:rPr>
          <w:rFonts w:ascii="Tw Cen MT" w:eastAsia="한양신명조" w:hAnsi="Tw Cen MT" w:cs="Times New Roman"/>
          <w:kern w:val="2"/>
          <w:sz w:val="18"/>
          <w:szCs w:val="18"/>
          <w:shd w:val="clear" w:color="auto" w:fill="FFFFFF"/>
        </w:rPr>
        <w:t>Eunjoo Lee</w:t>
      </w:r>
      <w:r w:rsidR="00FE69E8" w:rsidRPr="00847650">
        <w:rPr>
          <w:rFonts w:ascii="Tw Cen MT" w:eastAsia="한양신명조" w:hAnsi="Tw Cen MT" w:cs="Times New Roman"/>
          <w:kern w:val="2"/>
          <w:sz w:val="18"/>
          <w:szCs w:val="18"/>
          <w:shd w:val="clear" w:color="auto" w:fill="FFFFFF"/>
        </w:rPr>
        <w:t xml:space="preserve"> et al. (</w:t>
      </w:r>
      <w:r w:rsidR="006F61A6" w:rsidRPr="00847650">
        <w:rPr>
          <w:rFonts w:ascii="Tw Cen MT" w:eastAsia="한양신명조" w:hAnsi="Tw Cen MT" w:cs="Times New Roman"/>
          <w:kern w:val="2"/>
          <w:sz w:val="18"/>
          <w:szCs w:val="18"/>
        </w:rPr>
        <w:t>2013</w:t>
      </w:r>
      <w:r w:rsidR="00FE69E8" w:rsidRPr="00847650">
        <w:rPr>
          <w:rFonts w:ascii="Tw Cen MT" w:eastAsia="한양신명조" w:hAnsi="Tw Cen MT" w:cs="Times New Roman"/>
          <w:kern w:val="2"/>
          <w:sz w:val="18"/>
          <w:szCs w:val="18"/>
        </w:rPr>
        <w:t>)</w:t>
      </w:r>
      <w:r w:rsidR="006F61A6" w:rsidRPr="00847650">
        <w:rPr>
          <w:rFonts w:ascii="Tw Cen MT" w:eastAsia="한양신명조" w:hAnsi="Tw Cen MT" w:cs="Times New Roman"/>
          <w:kern w:val="2"/>
          <w:sz w:val="18"/>
          <w:szCs w:val="18"/>
        </w:rPr>
        <w:t xml:space="preserve"> Beraprost enhances production of antigen-specific IgG isotypes without modulating germinal center B cell generation and the affinity maturation. </w:t>
      </w:r>
      <w:r w:rsidR="00FE69E8" w:rsidRPr="00847650">
        <w:rPr>
          <w:rFonts w:ascii="Tw Cen MT" w:eastAsia="한양신명조" w:hAnsi="Tw Cen MT" w:cs="Times New Roman"/>
          <w:kern w:val="2"/>
          <w:sz w:val="18"/>
          <w:szCs w:val="18"/>
        </w:rPr>
        <w:t xml:space="preserve">International Immunopharmacology </w:t>
      </w:r>
      <w:r w:rsidR="006F61A6" w:rsidRPr="00847650">
        <w:rPr>
          <w:rFonts w:ascii="Tw Cen MT" w:eastAsia="한양신명조" w:hAnsi="Tw Cen MT" w:cs="Times New Roman"/>
          <w:kern w:val="2"/>
          <w:sz w:val="18"/>
          <w:szCs w:val="18"/>
        </w:rPr>
        <w:t xml:space="preserve">15:735-742. </w:t>
      </w:r>
    </w:p>
    <w:p w:rsidR="005C624A" w:rsidRDefault="002B06FC" w:rsidP="00FE69E8">
      <w:pPr>
        <w:pStyle w:val="a5"/>
        <w:tabs>
          <w:tab w:val="left" w:pos="-26028"/>
          <w:tab w:val="left" w:pos="-25228"/>
          <w:tab w:val="left" w:pos="-24428"/>
          <w:tab w:val="left" w:pos="-23628"/>
          <w:tab w:val="left" w:pos="-22828"/>
          <w:tab w:val="left" w:pos="-22028"/>
          <w:tab w:val="left" w:pos="-21228"/>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288" w:lineRule="auto"/>
        <w:rPr>
          <w:rFonts w:ascii="Tw Cen MT" w:eastAsia="Arial Unicode MS" w:hAnsi="Tw Cen MT" w:cs="Arial" w:hint="eastAsia"/>
          <w:sz w:val="18"/>
          <w:szCs w:val="18"/>
        </w:rPr>
      </w:pPr>
      <w:r>
        <w:rPr>
          <w:rFonts w:ascii="Tw Cen MT" w:eastAsia="Arial Unicode MS" w:hAnsi="Tw Cen MT" w:cs="Arial"/>
          <w:noProof/>
          <w:sz w:val="18"/>
          <w:szCs w:val="18"/>
        </w:rPr>
        <w:lastRenderedPageBreak/>
        <w:drawing>
          <wp:inline distT="0" distB="0" distL="0" distR="0" wp14:anchorId="5C78F84C" wp14:editId="27DA5BAB">
            <wp:extent cx="674113" cy="89977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5012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9380" cy="986885"/>
                    </a:xfrm>
                    <a:prstGeom prst="rect">
                      <a:avLst/>
                    </a:prstGeom>
                  </pic:spPr>
                </pic:pic>
              </a:graphicData>
            </a:graphic>
          </wp:inline>
        </w:drawing>
      </w:r>
      <w:bookmarkStart w:id="0" w:name="_GoBack"/>
      <w:bookmarkEnd w:id="0"/>
    </w:p>
    <w:p w:rsidR="005C624A" w:rsidRPr="00B957FA" w:rsidRDefault="002B06FC" w:rsidP="005C624A">
      <w:pPr>
        <w:widowControl/>
        <w:wordWrap/>
        <w:spacing w:line="240" w:lineRule="auto"/>
        <w:jc w:val="left"/>
        <w:rPr>
          <w:rFonts w:eastAsia="굴림"/>
          <w:color w:val="333333"/>
          <w:kern w:val="0"/>
          <w:sz w:val="16"/>
          <w:szCs w:val="16"/>
        </w:rPr>
      </w:pPr>
      <w:r w:rsidRPr="00B957FA">
        <w:rPr>
          <w:rFonts w:ascii="Arial" w:hAnsi="Arial" w:cs="Arial"/>
          <w:sz w:val="16"/>
          <w:szCs w:val="16"/>
        </w:rPr>
        <w:t>Jongseon Choe is leading the</w:t>
      </w:r>
      <w:r w:rsidR="005C624A" w:rsidRPr="00B957FA">
        <w:rPr>
          <w:rFonts w:ascii="Arial" w:hAnsi="Arial" w:cs="Arial"/>
          <w:sz w:val="16"/>
          <w:szCs w:val="16"/>
        </w:rPr>
        <w:t xml:space="preserve"> Laboratory of Cellular Immuno</w:t>
      </w:r>
      <w:r w:rsidRPr="00B957FA">
        <w:rPr>
          <w:rFonts w:ascii="Arial" w:hAnsi="Arial" w:cs="Arial"/>
          <w:sz w:val="16"/>
          <w:szCs w:val="16"/>
        </w:rPr>
        <w:t>bio</w:t>
      </w:r>
      <w:r w:rsidR="005C624A" w:rsidRPr="00B957FA">
        <w:rPr>
          <w:rFonts w:ascii="Arial" w:hAnsi="Arial" w:cs="Arial"/>
          <w:sz w:val="16"/>
          <w:szCs w:val="16"/>
        </w:rPr>
        <w:t>logy</w:t>
      </w:r>
      <w:r w:rsidRPr="00B957FA">
        <w:rPr>
          <w:rFonts w:ascii="Arial" w:hAnsi="Arial" w:cs="Arial"/>
          <w:sz w:val="16"/>
          <w:szCs w:val="16"/>
        </w:rPr>
        <w:t xml:space="preserve"> in Kangwon National University,</w:t>
      </w:r>
      <w:r w:rsidR="005C624A" w:rsidRPr="00B957FA">
        <w:rPr>
          <w:rFonts w:ascii="Arial" w:hAnsi="Arial" w:cs="Arial"/>
          <w:sz w:val="16"/>
          <w:szCs w:val="16"/>
        </w:rPr>
        <w:t xml:space="preserve"> trying to understand how our body defends against the various pathogenic microorganisms. We are currently focusing on the pivotal branch of the immune system, the humoral immune response. Antibodies are essential for our existence by attacking the invading pathogens. Since the high-quality antibodies are produced in the germinal centers of secondary lymphoid organs, we are studying the cellular and molecular interactions among follicular dendritic cells, B cells, and T cells. We hope to apply our research products to the treatment of immunologic diseases.</w:t>
      </w:r>
    </w:p>
    <w:p w:rsidR="00D606C3" w:rsidRPr="00B957FA" w:rsidRDefault="005C624A" w:rsidP="005C624A">
      <w:pPr>
        <w:pStyle w:val="a5"/>
        <w:tabs>
          <w:tab w:val="left" w:pos="-26028"/>
          <w:tab w:val="left" w:pos="-25228"/>
          <w:tab w:val="left" w:pos="-24428"/>
          <w:tab w:val="left" w:pos="-23628"/>
          <w:tab w:val="left" w:pos="-22828"/>
          <w:tab w:val="left" w:pos="-22028"/>
          <w:tab w:val="left" w:pos="-21228"/>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240" w:lineRule="auto"/>
        <w:jc w:val="center"/>
        <w:rPr>
          <w:rFonts w:ascii="Arial" w:eastAsia="Arial Unicode MS" w:hAnsi="Arial" w:cs="Arial"/>
          <w:sz w:val="16"/>
          <w:szCs w:val="16"/>
        </w:rPr>
      </w:pPr>
      <w:r w:rsidRPr="00B957FA">
        <w:rPr>
          <w:rFonts w:ascii="Arial" w:eastAsia="Arial Unicode MS" w:hAnsi="Arial" w:cs="Arial" w:hint="eastAsia"/>
          <w:sz w:val="16"/>
          <w:szCs w:val="16"/>
        </w:rPr>
        <w:t>Email: jchoe@kangwon.ac.kr</w:t>
      </w:r>
    </w:p>
    <w:sectPr w:rsidR="00D606C3" w:rsidRPr="00B957FA" w:rsidSect="00D606C3">
      <w:type w:val="continuous"/>
      <w:pgSz w:w="11906" w:h="16838"/>
      <w:pgMar w:top="1701" w:right="1440" w:bottom="1440" w:left="1440" w:header="851" w:footer="99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GulliverRM">
    <w:altName w:val="MS Mincho"/>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1"/>
    <w:family w:val="modern"/>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휴먼매직체">
    <w:panose1 w:val="02030504000101010101"/>
    <w:charset w:val="81"/>
    <w:family w:val="roman"/>
    <w:pitch w:val="variable"/>
    <w:sig w:usb0="800002A7" w:usb1="09D77CFB" w:usb2="00000010" w:usb3="00000000" w:csb0="0008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933919"/>
    <w:multiLevelType w:val="hybridMultilevel"/>
    <w:tmpl w:val="812284EA"/>
    <w:lvl w:ilvl="0" w:tplc="28E40F3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479C6D00"/>
    <w:multiLevelType w:val="hybridMultilevel"/>
    <w:tmpl w:val="5F20CF80"/>
    <w:lvl w:ilvl="0" w:tplc="71764CA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nsid w:val="4BEC539A"/>
    <w:multiLevelType w:val="hybridMultilevel"/>
    <w:tmpl w:val="EFA2990C"/>
    <w:lvl w:ilvl="0" w:tplc="561ABED2">
      <w:start w:val="1"/>
      <w:numFmt w:val="decimal"/>
      <w:lvlText w:val="%1."/>
      <w:lvlJc w:val="left"/>
      <w:pPr>
        <w:ind w:left="760" w:hanging="360"/>
      </w:pPr>
      <w:rPr>
        <w:rFonts w:ascii="Times New Roman" w:eastAsia="맑은 고딕" w:hAnsi="Times New Roman" w:cs="Times New Roman"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63BD26FD"/>
    <w:multiLevelType w:val="hybridMultilevel"/>
    <w:tmpl w:val="40D00006"/>
    <w:lvl w:ilvl="0" w:tplc="C2909262">
      <w:start w:val="1"/>
      <w:numFmt w:val="decimal"/>
      <w:lvlText w:val="%1."/>
      <w:lvlJc w:val="left"/>
      <w:pPr>
        <w:ind w:left="0" w:firstLine="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681B1E62"/>
    <w:multiLevelType w:val="hybridMultilevel"/>
    <w:tmpl w:val="E9C85ECA"/>
    <w:lvl w:ilvl="0" w:tplc="C67C1EE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nsid w:val="76BA1C61"/>
    <w:multiLevelType w:val="hybridMultilevel"/>
    <w:tmpl w:val="57A61682"/>
    <w:lvl w:ilvl="0" w:tplc="3044EBAA">
      <w:start w:val="1"/>
      <w:numFmt w:val="decimal"/>
      <w:lvlText w:val="%1"/>
      <w:lvlJc w:val="left"/>
      <w:pPr>
        <w:ind w:left="760" w:hanging="360"/>
      </w:pPr>
      <w:rPr>
        <w:rFonts w:ascii="Times New Roman" w:eastAsia="맑은 고딕" w:hAnsi="Times New Roman" w:cs="Times New Roman"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4C3"/>
    <w:rsid w:val="00085297"/>
    <w:rsid w:val="002B06FC"/>
    <w:rsid w:val="002B0F16"/>
    <w:rsid w:val="0035075D"/>
    <w:rsid w:val="00495BD0"/>
    <w:rsid w:val="00527790"/>
    <w:rsid w:val="005B2CBF"/>
    <w:rsid w:val="005C624A"/>
    <w:rsid w:val="006F61A6"/>
    <w:rsid w:val="00847650"/>
    <w:rsid w:val="009D08B8"/>
    <w:rsid w:val="00AE54C3"/>
    <w:rsid w:val="00B957FA"/>
    <w:rsid w:val="00D606C3"/>
    <w:rsid w:val="00FA11F8"/>
    <w:rsid w:val="00FE69E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F56CB-7723-4E67-AD90-4F5BFEE6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61A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4">
    <w:name w:val="List Paragraph"/>
    <w:basedOn w:val="a"/>
    <w:uiPriority w:val="34"/>
    <w:qFormat/>
    <w:rsid w:val="006F61A6"/>
    <w:pPr>
      <w:ind w:leftChars="400" w:left="800"/>
    </w:pPr>
  </w:style>
  <w:style w:type="paragraph" w:customStyle="1" w:styleId="a5">
    <w:name w:val="바탕글"/>
    <w:basedOn w:val="a"/>
    <w:rsid w:val="006F61A6"/>
    <w:pPr>
      <w:snapToGrid w:val="0"/>
      <w:spacing w:after="0" w:line="360" w:lineRule="auto"/>
      <w:textAlignment w:val="baseline"/>
    </w:pPr>
    <w:rPr>
      <w:rFonts w:ascii="한양신명조"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17304">
      <w:bodyDiv w:val="1"/>
      <w:marLeft w:val="0"/>
      <w:marRight w:val="0"/>
      <w:marTop w:val="0"/>
      <w:marBottom w:val="0"/>
      <w:divBdr>
        <w:top w:val="none" w:sz="0" w:space="0" w:color="auto"/>
        <w:left w:val="none" w:sz="0" w:space="0" w:color="auto"/>
        <w:bottom w:val="none" w:sz="0" w:space="0" w:color="auto"/>
        <w:right w:val="none" w:sz="0" w:space="0" w:color="auto"/>
      </w:divBdr>
    </w:div>
    <w:div w:id="664432196">
      <w:bodyDiv w:val="1"/>
      <w:marLeft w:val="0"/>
      <w:marRight w:val="0"/>
      <w:marTop w:val="0"/>
      <w:marBottom w:val="0"/>
      <w:divBdr>
        <w:top w:val="none" w:sz="0" w:space="0" w:color="auto"/>
        <w:left w:val="none" w:sz="0" w:space="0" w:color="auto"/>
        <w:bottom w:val="none" w:sz="0" w:space="0" w:color="auto"/>
        <w:right w:val="none" w:sz="0" w:space="0" w:color="auto"/>
      </w:divBdr>
    </w:div>
    <w:div w:id="696545259">
      <w:bodyDiv w:val="1"/>
      <w:marLeft w:val="0"/>
      <w:marRight w:val="0"/>
      <w:marTop w:val="0"/>
      <w:marBottom w:val="0"/>
      <w:divBdr>
        <w:top w:val="none" w:sz="0" w:space="0" w:color="auto"/>
        <w:left w:val="none" w:sz="0" w:space="0" w:color="auto"/>
        <w:bottom w:val="none" w:sz="0" w:space="0" w:color="auto"/>
        <w:right w:val="none" w:sz="0" w:space="0" w:color="auto"/>
      </w:divBdr>
    </w:div>
    <w:div w:id="903219560">
      <w:bodyDiv w:val="1"/>
      <w:marLeft w:val="0"/>
      <w:marRight w:val="0"/>
      <w:marTop w:val="0"/>
      <w:marBottom w:val="0"/>
      <w:divBdr>
        <w:top w:val="none" w:sz="0" w:space="0" w:color="auto"/>
        <w:left w:val="none" w:sz="0" w:space="0" w:color="auto"/>
        <w:bottom w:val="none" w:sz="0" w:space="0" w:color="auto"/>
        <w:right w:val="none" w:sz="0" w:space="0" w:color="auto"/>
      </w:divBdr>
    </w:div>
    <w:div w:id="144376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509</Words>
  <Characters>2906</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2016-10-03T04:30:00Z</dcterms:created>
  <dcterms:modified xsi:type="dcterms:W3CDTF">2016-10-03T05:31:00Z</dcterms:modified>
</cp:coreProperties>
</file>