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27"/>
          <w:szCs w:val="27"/>
        </w:rPr>
      </w:pPr>
      <w:r>
        <w:rPr>
          <w:rFonts w:ascii="AdvOT863180fb" w:hAnsi="AdvOT863180fb" w:cs="AdvOT863180fb"/>
          <w:color w:val="000000"/>
          <w:sz w:val="27"/>
          <w:szCs w:val="27"/>
        </w:rPr>
        <w:t>Factors affecting sexual function in menopause: A review article</w:t>
      </w:r>
    </w:p>
    <w:p w:rsidR="00B20DC1" w:rsidRP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cs="AdvOT863180fb"/>
          <w:color w:val="000000"/>
          <w:sz w:val="24"/>
          <w:szCs w:val="24"/>
        </w:rPr>
      </w:pPr>
      <w:proofErr w:type="spellStart"/>
      <w:r w:rsidRPr="00B20DC1">
        <w:rPr>
          <w:rFonts w:cs="AdvOT863180fb"/>
          <w:color w:val="000000"/>
          <w:sz w:val="24"/>
          <w:szCs w:val="24"/>
        </w:rPr>
        <w:t>Masoumeh</w:t>
      </w:r>
      <w:proofErr w:type="spellEnd"/>
      <w:r w:rsidRPr="00B20DC1">
        <w:rPr>
          <w:rFonts w:cs="AdvOT863180fb"/>
          <w:color w:val="000000"/>
          <w:sz w:val="24"/>
          <w:szCs w:val="24"/>
        </w:rPr>
        <w:t xml:space="preserve"> </w:t>
      </w:r>
      <w:proofErr w:type="spellStart"/>
      <w:r w:rsidRPr="00B20DC1">
        <w:rPr>
          <w:rFonts w:cs="AdvOT863180fb"/>
          <w:color w:val="000000"/>
          <w:sz w:val="24"/>
          <w:szCs w:val="24"/>
        </w:rPr>
        <w:t>Simbar</w:t>
      </w:r>
      <w:proofErr w:type="spellEnd"/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27"/>
          <w:szCs w:val="27"/>
        </w:rPr>
      </w:pPr>
      <w:proofErr w:type="spellStart"/>
      <w:r w:rsidRPr="00B20DC1">
        <w:rPr>
          <w:rFonts w:cs="AdvOT863180fb"/>
          <w:color w:val="000000"/>
          <w:sz w:val="24"/>
          <w:szCs w:val="24"/>
        </w:rPr>
        <w:t>Shahid</w:t>
      </w:r>
      <w:proofErr w:type="spellEnd"/>
      <w:r w:rsidRPr="00B20DC1">
        <w:rPr>
          <w:rFonts w:cs="AdvOT863180fb"/>
          <w:color w:val="000000"/>
          <w:sz w:val="24"/>
          <w:szCs w:val="24"/>
        </w:rPr>
        <w:t xml:space="preserve"> </w:t>
      </w:r>
      <w:proofErr w:type="spellStart"/>
      <w:r w:rsidRPr="00B20DC1">
        <w:rPr>
          <w:rFonts w:cs="AdvOT863180fb"/>
          <w:color w:val="000000"/>
          <w:sz w:val="24"/>
          <w:szCs w:val="24"/>
        </w:rPr>
        <w:t>Beheshti</w:t>
      </w:r>
      <w:proofErr w:type="spellEnd"/>
      <w:r w:rsidRPr="00B20DC1">
        <w:rPr>
          <w:rFonts w:cs="AdvOT863180fb"/>
          <w:color w:val="000000"/>
          <w:sz w:val="24"/>
          <w:szCs w:val="24"/>
        </w:rPr>
        <w:t xml:space="preserve"> University of Medical Sciences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27"/>
          <w:szCs w:val="27"/>
        </w:rPr>
      </w:pP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Soheila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Nazarpour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r>
        <w:rPr>
          <w:rFonts w:ascii="AdvOT863180fb" w:hAnsi="AdvOT863180fb" w:cs="AdvOT863180fb"/>
          <w:color w:val="2197D2"/>
          <w:sz w:val="15"/>
          <w:szCs w:val="15"/>
        </w:rPr>
        <w:t>a</w:t>
      </w:r>
      <w:r>
        <w:rPr>
          <w:rFonts w:ascii="AdvOT863180fb" w:hAnsi="AdvOT863180fb" w:cs="AdvOT863180fb"/>
          <w:color w:val="000000"/>
          <w:sz w:val="21"/>
          <w:szCs w:val="21"/>
        </w:rPr>
        <w:t xml:space="preserve">, </w:t>
      </w: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Masoumeh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Simbar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r>
        <w:rPr>
          <w:rFonts w:ascii="AdvOT863180fb" w:hAnsi="AdvOT863180fb" w:cs="AdvOT863180fb"/>
          <w:color w:val="2197D2"/>
          <w:sz w:val="15"/>
          <w:szCs w:val="15"/>
        </w:rPr>
        <w:t>b</w:t>
      </w:r>
      <w:r>
        <w:rPr>
          <w:rFonts w:ascii="AdvOT863180fb" w:hAnsi="AdvOT863180fb" w:cs="AdvOT863180fb"/>
          <w:color w:val="000000"/>
          <w:sz w:val="14"/>
          <w:szCs w:val="14"/>
        </w:rPr>
        <w:t xml:space="preserve">, </w:t>
      </w:r>
      <w:r>
        <w:rPr>
          <w:rFonts w:ascii="AdvOT863180fb" w:hAnsi="AdvOT863180fb" w:cs="AdvOT863180fb"/>
          <w:color w:val="2197D2"/>
          <w:sz w:val="15"/>
          <w:szCs w:val="15"/>
        </w:rPr>
        <w:t>c</w:t>
      </w:r>
      <w:r>
        <w:rPr>
          <w:rFonts w:ascii="AdvOT863180fb" w:hAnsi="AdvOT863180fb" w:cs="AdvOT863180fb"/>
          <w:color w:val="000000"/>
          <w:sz w:val="14"/>
          <w:szCs w:val="14"/>
        </w:rPr>
        <w:t xml:space="preserve">, </w:t>
      </w:r>
      <w:r>
        <w:rPr>
          <w:rFonts w:ascii="AdvTT5843c571" w:hAnsi="AdvTT5843c571" w:cs="AdvTT5843c571"/>
          <w:color w:val="2197D2"/>
          <w:sz w:val="15"/>
          <w:szCs w:val="15"/>
        </w:rPr>
        <w:t>*</w:t>
      </w:r>
      <w:r>
        <w:rPr>
          <w:rFonts w:ascii="AdvOT863180fb" w:hAnsi="AdvOT863180fb" w:cs="AdvOT863180fb"/>
          <w:color w:val="000000"/>
          <w:sz w:val="21"/>
          <w:szCs w:val="21"/>
        </w:rPr>
        <w:t xml:space="preserve">, </w:t>
      </w: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Fahimeh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Ramezani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proofErr w:type="spellStart"/>
      <w:r>
        <w:rPr>
          <w:rFonts w:ascii="AdvOT863180fb" w:hAnsi="AdvOT863180fb" w:cs="AdvOT863180fb"/>
          <w:color w:val="000000"/>
          <w:sz w:val="21"/>
          <w:szCs w:val="21"/>
        </w:rPr>
        <w:t>Tehrani</w:t>
      </w:r>
      <w:proofErr w:type="spellEnd"/>
      <w:r>
        <w:rPr>
          <w:rFonts w:ascii="AdvOT863180fb" w:hAnsi="AdvOT863180fb" w:cs="AdvOT863180fb"/>
          <w:color w:val="000000"/>
          <w:sz w:val="21"/>
          <w:szCs w:val="21"/>
        </w:rPr>
        <w:t xml:space="preserve"> </w:t>
      </w:r>
      <w:r>
        <w:rPr>
          <w:rFonts w:ascii="AdvOT863180fb" w:hAnsi="AdvOT863180fb" w:cs="AdvOT863180fb"/>
          <w:color w:val="2197D2"/>
          <w:sz w:val="15"/>
          <w:szCs w:val="15"/>
        </w:rPr>
        <w:t>c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r>
        <w:rPr>
          <w:rFonts w:ascii="AdvOT863180fb" w:hAnsi="AdvOT863180fb" w:cs="AdvOT863180fb"/>
          <w:color w:val="000000"/>
          <w:sz w:val="14"/>
          <w:szCs w:val="14"/>
        </w:rPr>
        <w:t>This study aimed to systematically review the articles on factors affecting sexual function during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menopause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. Searching articles indexed in </w:t>
      </w:r>
      <w:proofErr w:type="spellStart"/>
      <w:r>
        <w:rPr>
          <w:rFonts w:ascii="AdvOT863180fb" w:hAnsi="AdvOT863180fb" w:cs="AdvOT863180fb"/>
          <w:color w:val="000000"/>
          <w:sz w:val="14"/>
          <w:szCs w:val="14"/>
        </w:rPr>
        <w:t>Pubmed</w:t>
      </w:r>
      <w:proofErr w:type="spellEnd"/>
      <w:r>
        <w:rPr>
          <w:rFonts w:ascii="AdvOT863180fb" w:hAnsi="AdvOT863180fb" w:cs="AdvOT863180fb"/>
          <w:color w:val="000000"/>
          <w:sz w:val="14"/>
          <w:szCs w:val="14"/>
        </w:rPr>
        <w:t xml:space="preserve">, Science Direct, </w:t>
      </w:r>
      <w:proofErr w:type="spellStart"/>
      <w:r>
        <w:rPr>
          <w:rFonts w:ascii="AdvOT863180fb" w:hAnsi="AdvOT863180fb" w:cs="AdvOT863180fb"/>
          <w:color w:val="000000"/>
          <w:sz w:val="14"/>
          <w:szCs w:val="14"/>
        </w:rPr>
        <w:t>Iranmedex</w:t>
      </w:r>
      <w:proofErr w:type="spellEnd"/>
      <w:r>
        <w:rPr>
          <w:rFonts w:ascii="AdvOT863180fb" w:hAnsi="AdvOT863180fb" w:cs="AdvOT863180fb"/>
          <w:color w:val="000000"/>
          <w:sz w:val="14"/>
          <w:szCs w:val="14"/>
        </w:rPr>
        <w:t>, EMBASE, Scopus, and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r>
        <w:rPr>
          <w:rFonts w:ascii="AdvOT863180fb" w:hAnsi="AdvOT863180fb" w:cs="AdvOT863180fb"/>
          <w:color w:val="000000"/>
          <w:sz w:val="14"/>
          <w:szCs w:val="14"/>
        </w:rPr>
        <w:t>Scienti</w:t>
      </w:r>
      <w:r>
        <w:rPr>
          <w:rFonts w:ascii="AdvOT863180fb+fb" w:hAnsi="AdvOT863180fb+fb" w:cs="AdvOT863180fb+fb"/>
          <w:color w:val="000000"/>
          <w:sz w:val="14"/>
          <w:szCs w:val="14"/>
        </w:rPr>
        <w:t>fi</w:t>
      </w:r>
      <w:r>
        <w:rPr>
          <w:rFonts w:ascii="AdvOT863180fb" w:hAnsi="AdvOT863180fb" w:cs="AdvOT863180fb"/>
          <w:color w:val="000000"/>
          <w:sz w:val="14"/>
          <w:szCs w:val="14"/>
        </w:rPr>
        <w:t>c Information Database databases, a total number of 42 studies published between 2003 and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r>
        <w:rPr>
          <w:rFonts w:ascii="AdvOT863180fb" w:hAnsi="AdvOT863180fb" w:cs="AdvOT863180fb"/>
          <w:color w:val="000000"/>
          <w:sz w:val="14"/>
          <w:szCs w:val="14"/>
        </w:rPr>
        <w:t>2013 were selected. Age, estrogen de</w:t>
      </w:r>
      <w:r>
        <w:rPr>
          <w:rFonts w:ascii="AdvOT863180fb+fb" w:hAnsi="AdvOT863180fb+fb" w:cs="AdvOT863180fb+fb"/>
          <w:color w:val="000000"/>
          <w:sz w:val="14"/>
          <w:szCs w:val="14"/>
        </w:rPr>
        <w:t>fi</w:t>
      </w:r>
      <w:r>
        <w:rPr>
          <w:rFonts w:ascii="AdvOT863180fb" w:hAnsi="AdvOT863180fb" w:cs="AdvOT863180fb"/>
          <w:color w:val="000000"/>
          <w:sz w:val="14"/>
          <w:szCs w:val="14"/>
        </w:rPr>
        <w:t xml:space="preserve">ciency, type of menopause, chronic medical problems, </w:t>
      </w: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partner's</w:t>
      </w:r>
      <w:proofErr w:type="gramEnd"/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sex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 problems, severity of menopause symptoms, </w:t>
      </w:r>
      <w:proofErr w:type="spellStart"/>
      <w:r>
        <w:rPr>
          <w:rFonts w:ascii="AdvOT863180fb" w:hAnsi="AdvOT863180fb" w:cs="AdvOT863180fb"/>
          <w:color w:val="000000"/>
          <w:sz w:val="14"/>
          <w:szCs w:val="14"/>
        </w:rPr>
        <w:t>dystocia</w:t>
      </w:r>
      <w:proofErr w:type="spellEnd"/>
      <w:r>
        <w:rPr>
          <w:rFonts w:ascii="AdvOT863180fb" w:hAnsi="AdvOT863180fb" w:cs="AdvOT863180fb"/>
          <w:color w:val="000000"/>
          <w:sz w:val="14"/>
          <w:szCs w:val="14"/>
        </w:rPr>
        <w:t xml:space="preserve"> history, and health status were the physical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factors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 in</w:t>
      </w:r>
      <w:r>
        <w:rPr>
          <w:rFonts w:ascii="AdvOT863180fb+fb" w:hAnsi="AdvOT863180fb+fb" w:cs="AdvOT863180fb+fb"/>
          <w:color w:val="000000"/>
          <w:sz w:val="14"/>
          <w:szCs w:val="14"/>
        </w:rPr>
        <w:t>fl</w:t>
      </w:r>
      <w:r>
        <w:rPr>
          <w:rFonts w:ascii="AdvOT863180fb" w:hAnsi="AdvOT863180fb" w:cs="AdvOT863180fb"/>
          <w:color w:val="000000"/>
          <w:sz w:val="14"/>
          <w:szCs w:val="14"/>
        </w:rPr>
        <w:t>uencing sexual function of menopausal women. There were con</w:t>
      </w:r>
      <w:r>
        <w:rPr>
          <w:rFonts w:ascii="AdvOT863180fb+fb" w:hAnsi="AdvOT863180fb+fb" w:cs="AdvOT863180fb+fb"/>
          <w:color w:val="000000"/>
          <w:sz w:val="14"/>
          <w:szCs w:val="14"/>
        </w:rPr>
        <w:t>fl</w:t>
      </w:r>
      <w:r>
        <w:rPr>
          <w:rFonts w:ascii="AdvOT863180fb" w:hAnsi="AdvOT863180fb" w:cs="AdvOT863180fb"/>
          <w:color w:val="000000"/>
          <w:sz w:val="14"/>
          <w:szCs w:val="14"/>
        </w:rPr>
        <w:t>icting results regarding the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amount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 of androgens, hormonal therapy, exercise/physical activity, and obstetric history. In the mental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spellStart"/>
      <w:proofErr w:type="gramStart"/>
      <w:r>
        <w:rPr>
          <w:rFonts w:ascii="AdvPS44A44B" w:hAnsi="AdvPS44A44B" w:cs="AdvPS44A44B"/>
          <w:color w:val="000000"/>
          <w:sz w:val="14"/>
          <w:szCs w:val="14"/>
        </w:rPr>
        <w:t>e</w:t>
      </w:r>
      <w:r>
        <w:rPr>
          <w:rFonts w:ascii="AdvOT863180fb" w:hAnsi="AdvOT863180fb" w:cs="AdvOT863180fb"/>
          <w:color w:val="000000"/>
          <w:sz w:val="14"/>
          <w:szCs w:val="14"/>
        </w:rPr>
        <w:t>emotional</w:t>
      </w:r>
      <w:proofErr w:type="spellEnd"/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 area, all studies con</w:t>
      </w:r>
      <w:r>
        <w:rPr>
          <w:rFonts w:ascii="AdvOT863180fb+fb" w:hAnsi="AdvOT863180fb+fb" w:cs="AdvOT863180fb+fb"/>
          <w:color w:val="000000"/>
          <w:sz w:val="14"/>
          <w:szCs w:val="14"/>
        </w:rPr>
        <w:t>fi</w:t>
      </w:r>
      <w:r>
        <w:rPr>
          <w:rFonts w:ascii="AdvOT863180fb" w:hAnsi="AdvOT863180fb" w:cs="AdvOT863180fb"/>
          <w:color w:val="000000"/>
          <w:sz w:val="14"/>
          <w:szCs w:val="14"/>
        </w:rPr>
        <w:t>rmed the impact of depression and anxiety. Social factors, including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smoking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>, alcohol consumption, the quality of relationship with husband, partner's loyalty, sexual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knowledge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>, access to health care, a history of divorce or the death of a husband, living apart from a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spouse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>, and a negative understanding of women's health were found to affect sexual function; however,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there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 were con</w:t>
      </w:r>
      <w:r>
        <w:rPr>
          <w:rFonts w:ascii="AdvOT863180fb+fb" w:hAnsi="AdvOT863180fb+fb" w:cs="AdvOT863180fb+fb"/>
          <w:color w:val="000000"/>
          <w:sz w:val="14"/>
          <w:szCs w:val="14"/>
        </w:rPr>
        <w:t>fl</w:t>
      </w:r>
      <w:r>
        <w:rPr>
          <w:rFonts w:ascii="AdvOT863180fb" w:hAnsi="AdvOT863180fb" w:cs="AdvOT863180fb"/>
          <w:color w:val="000000"/>
          <w:sz w:val="14"/>
          <w:szCs w:val="14"/>
        </w:rPr>
        <w:t>icting results regarding the effects of education, occupation, socioeconomic status,</w:t>
      </w:r>
    </w:p>
    <w:p w:rsidR="00B20DC1" w:rsidRDefault="00B20DC1" w:rsidP="00B20DC1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14"/>
          <w:szCs w:val="14"/>
        </w:rPr>
      </w:pPr>
      <w:proofErr w:type="gramStart"/>
      <w:r>
        <w:rPr>
          <w:rFonts w:ascii="AdvOT863180fb" w:hAnsi="AdvOT863180fb" w:cs="AdvOT863180fb"/>
          <w:color w:val="000000"/>
          <w:sz w:val="14"/>
          <w:szCs w:val="14"/>
        </w:rPr>
        <w:t>marital</w:t>
      </w:r>
      <w:proofErr w:type="gramEnd"/>
      <w:r>
        <w:rPr>
          <w:rFonts w:ascii="AdvOT863180fb" w:hAnsi="AdvOT863180fb" w:cs="AdvOT863180fb"/>
          <w:color w:val="000000"/>
          <w:sz w:val="14"/>
          <w:szCs w:val="14"/>
        </w:rPr>
        <w:t xml:space="preserve"> duration, and frequency of sexual intercourse.</w:t>
      </w:r>
    </w:p>
    <w:p w:rsidR="00F512AE" w:rsidRDefault="00F512AE" w:rsidP="00B20DC1"/>
    <w:sectPr w:rsidR="00F512AE" w:rsidSect="00F51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843c57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863180fb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44A44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20DC1"/>
    <w:rsid w:val="00B20DC1"/>
    <w:rsid w:val="00F5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2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oxygen</dc:creator>
  <cp:lastModifiedBy>oxygen</cp:lastModifiedBy>
  <cp:revision>1</cp:revision>
  <dcterms:created xsi:type="dcterms:W3CDTF">2018-03-29T14:37:00Z</dcterms:created>
  <dcterms:modified xsi:type="dcterms:W3CDTF">2018-03-29T14:39:00Z</dcterms:modified>
</cp:coreProperties>
</file>