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0141C" w14:textId="65B20B96" w:rsidR="00B4424F" w:rsidRPr="00B4424F" w:rsidRDefault="00F525F0" w:rsidP="00F64F0E">
      <w:pPr>
        <w:shd w:val="clear" w:color="auto" w:fill="FFFFFF"/>
        <w:spacing w:after="0" w:line="276" w:lineRule="auto"/>
        <w:jc w:val="both"/>
        <w:outlineLvl w:val="0"/>
        <w:rPr>
          <w:rFonts w:asciiTheme="majorBidi" w:eastAsia="Times New Roman" w:hAnsiTheme="majorBidi" w:cstheme="majorBidi"/>
          <w:b/>
          <w:bCs/>
          <w:kern w:val="36"/>
          <w:sz w:val="28"/>
          <w:szCs w:val="28"/>
        </w:rPr>
      </w:pPr>
      <w:r>
        <w:rPr>
          <w:rFonts w:asciiTheme="majorBidi" w:eastAsia="Times New Roman" w:hAnsiTheme="majorBidi" w:cstheme="majorBidi"/>
          <w:b/>
          <w:bCs/>
          <w:kern w:val="36"/>
          <w:sz w:val="28"/>
          <w:szCs w:val="28"/>
        </w:rPr>
        <w:t>M</w:t>
      </w:r>
      <w:r w:rsidR="00B4424F" w:rsidRPr="00B4424F">
        <w:rPr>
          <w:rFonts w:asciiTheme="majorBidi" w:eastAsia="Times New Roman" w:hAnsiTheme="majorBidi" w:cstheme="majorBidi"/>
          <w:b/>
          <w:bCs/>
          <w:kern w:val="36"/>
          <w:sz w:val="28"/>
          <w:szCs w:val="28"/>
        </w:rPr>
        <w:t>icrobial coinfection</w:t>
      </w:r>
      <w:r>
        <w:rPr>
          <w:rFonts w:asciiTheme="majorBidi" w:eastAsia="Times New Roman" w:hAnsiTheme="majorBidi" w:cstheme="majorBidi"/>
          <w:b/>
          <w:bCs/>
          <w:kern w:val="36"/>
          <w:sz w:val="28"/>
          <w:szCs w:val="28"/>
        </w:rPr>
        <w:t>s</w:t>
      </w:r>
      <w:r w:rsidR="00B4424F" w:rsidRPr="00B4424F">
        <w:rPr>
          <w:rFonts w:asciiTheme="majorBidi" w:eastAsia="Times New Roman" w:hAnsiTheme="majorBidi" w:cstheme="majorBidi"/>
          <w:b/>
          <w:bCs/>
          <w:kern w:val="36"/>
          <w:sz w:val="28"/>
          <w:szCs w:val="28"/>
        </w:rPr>
        <w:t xml:space="preserve"> </w:t>
      </w:r>
      <w:r>
        <w:rPr>
          <w:rFonts w:asciiTheme="majorBidi" w:eastAsia="Times New Roman" w:hAnsiTheme="majorBidi" w:cstheme="majorBidi"/>
          <w:b/>
          <w:bCs/>
          <w:kern w:val="36"/>
          <w:sz w:val="28"/>
          <w:szCs w:val="28"/>
        </w:rPr>
        <w:t>between</w:t>
      </w:r>
      <w:r w:rsidR="00B4424F" w:rsidRPr="00B4424F">
        <w:rPr>
          <w:rFonts w:asciiTheme="majorBidi" w:eastAsia="Times New Roman" w:hAnsiTheme="majorBidi" w:cstheme="majorBidi"/>
          <w:b/>
          <w:bCs/>
          <w:kern w:val="36"/>
          <w:sz w:val="28"/>
          <w:szCs w:val="28"/>
        </w:rPr>
        <w:t xml:space="preserve"> COVID-19 patients: A systematic review and meta-analysis</w:t>
      </w:r>
    </w:p>
    <w:p w14:paraId="6A5F6BE6" w14:textId="69BB593A" w:rsidR="00B4424F" w:rsidRPr="00B4424F" w:rsidRDefault="00B4424F" w:rsidP="00F64F0E">
      <w:pPr>
        <w:spacing w:after="0" w:line="276" w:lineRule="auto"/>
        <w:jc w:val="both"/>
        <w:rPr>
          <w:rFonts w:asciiTheme="majorBidi" w:hAnsiTheme="majorBidi" w:cstheme="majorBidi"/>
          <w:sz w:val="24"/>
          <w:szCs w:val="24"/>
        </w:rPr>
      </w:pPr>
    </w:p>
    <w:p w14:paraId="358BE2C2" w14:textId="77777777" w:rsidR="00B4424F" w:rsidRPr="00B4424F" w:rsidRDefault="00B4424F" w:rsidP="00F64F0E">
      <w:pPr>
        <w:spacing w:after="0" w:line="240" w:lineRule="auto"/>
        <w:jc w:val="both"/>
        <w:rPr>
          <w:rFonts w:asciiTheme="majorBidi" w:eastAsia="Times New Roman" w:hAnsiTheme="majorBidi" w:cstheme="majorBidi"/>
          <w:i/>
          <w:iCs/>
        </w:rPr>
      </w:pPr>
      <w:r w:rsidRPr="00B4424F">
        <w:rPr>
          <w:rFonts w:asciiTheme="majorBidi" w:eastAsia="Times New Roman" w:hAnsiTheme="majorBidi" w:cstheme="majorBidi"/>
          <w:i/>
          <w:iCs/>
        </w:rPr>
        <w:t xml:space="preserve">Saber </w:t>
      </w:r>
      <w:proofErr w:type="spellStart"/>
      <w:r w:rsidRPr="00B4424F">
        <w:rPr>
          <w:rFonts w:asciiTheme="majorBidi" w:eastAsia="Times New Roman" w:hAnsiTheme="majorBidi" w:cstheme="majorBidi"/>
          <w:i/>
          <w:iCs/>
        </w:rPr>
        <w:t>Soltani</w:t>
      </w:r>
      <w:proofErr w:type="spellEnd"/>
    </w:p>
    <w:p w14:paraId="3D548115" w14:textId="18424C3B" w:rsidR="00B4424F" w:rsidRPr="00B4424F" w:rsidRDefault="00B4424F" w:rsidP="00F64F0E">
      <w:pPr>
        <w:spacing w:after="0" w:line="240" w:lineRule="auto"/>
        <w:jc w:val="both"/>
        <w:rPr>
          <w:rFonts w:asciiTheme="majorBidi" w:eastAsia="Times New Roman" w:hAnsiTheme="majorBidi" w:cstheme="majorBidi"/>
          <w:i/>
          <w:iCs/>
        </w:rPr>
      </w:pPr>
      <w:r w:rsidRPr="00B4424F">
        <w:rPr>
          <w:rFonts w:asciiTheme="majorBidi" w:eastAsia="Times New Roman" w:hAnsiTheme="majorBidi" w:cstheme="majorBidi"/>
          <w:i/>
          <w:iCs/>
        </w:rPr>
        <w:t>Department of Virology, School of Public Health, Tehran University of Medical Sciences, Tehran, Iran</w:t>
      </w:r>
      <w:r w:rsidR="00F64F0E">
        <w:rPr>
          <w:rFonts w:asciiTheme="majorBidi" w:eastAsia="Times New Roman" w:hAnsiTheme="majorBidi" w:cstheme="majorBidi"/>
          <w:i/>
          <w:iCs/>
        </w:rPr>
        <w:t>.</w:t>
      </w:r>
    </w:p>
    <w:p w14:paraId="0CCDDCE2" w14:textId="77777777" w:rsidR="00F64F0E" w:rsidRDefault="00B4424F" w:rsidP="00F64F0E">
      <w:pPr>
        <w:spacing w:after="0" w:line="240" w:lineRule="auto"/>
        <w:jc w:val="both"/>
        <w:rPr>
          <w:rFonts w:asciiTheme="majorBidi" w:eastAsia="Times New Roman" w:hAnsiTheme="majorBidi" w:cstheme="majorBidi"/>
          <w:i/>
          <w:iCs/>
        </w:rPr>
      </w:pPr>
      <w:proofErr w:type="spellStart"/>
      <w:r w:rsidRPr="00B4424F">
        <w:rPr>
          <w:rFonts w:asciiTheme="majorBidi" w:eastAsia="Times New Roman" w:hAnsiTheme="majorBidi" w:cstheme="majorBidi"/>
          <w:i/>
          <w:iCs/>
        </w:rPr>
        <w:t>Poursina</w:t>
      </w:r>
      <w:proofErr w:type="spellEnd"/>
      <w:r w:rsidRPr="00B4424F">
        <w:rPr>
          <w:rFonts w:asciiTheme="majorBidi" w:eastAsia="Times New Roman" w:hAnsiTheme="majorBidi" w:cstheme="majorBidi"/>
          <w:i/>
          <w:iCs/>
        </w:rPr>
        <w:t xml:space="preserve"> street, PO Box: 1417613151, Tehran, Iran.</w:t>
      </w:r>
    </w:p>
    <w:p w14:paraId="70378280" w14:textId="77777777" w:rsidR="00F64F0E" w:rsidRDefault="00B4424F" w:rsidP="00F64F0E">
      <w:pPr>
        <w:spacing w:after="0" w:line="240" w:lineRule="auto"/>
        <w:jc w:val="both"/>
        <w:rPr>
          <w:rFonts w:asciiTheme="majorBidi" w:eastAsia="Times New Roman" w:hAnsiTheme="majorBidi" w:cstheme="majorBidi"/>
          <w:i/>
          <w:iCs/>
        </w:rPr>
      </w:pPr>
      <w:hyperlink r:id="rId5" w:tgtFrame="_blank" w:history="1">
        <w:r w:rsidRPr="00B4424F">
          <w:rPr>
            <w:rFonts w:asciiTheme="majorBidi" w:eastAsia="Times New Roman" w:hAnsiTheme="majorBidi" w:cstheme="majorBidi"/>
            <w:i/>
            <w:iCs/>
          </w:rPr>
          <w:t>orcid.org/0000-0003-3369-0856</w:t>
        </w:r>
      </w:hyperlink>
    </w:p>
    <w:p w14:paraId="55807C1E" w14:textId="123401D8" w:rsidR="00B4424F" w:rsidRPr="00B4424F" w:rsidRDefault="00B4424F" w:rsidP="00F64F0E">
      <w:pPr>
        <w:spacing w:after="0" w:line="240" w:lineRule="auto"/>
        <w:jc w:val="both"/>
        <w:rPr>
          <w:rFonts w:asciiTheme="majorBidi" w:eastAsia="Times New Roman" w:hAnsiTheme="majorBidi" w:cstheme="majorBidi"/>
          <w:i/>
          <w:iCs/>
        </w:rPr>
      </w:pPr>
      <w:r w:rsidRPr="00B4424F">
        <w:rPr>
          <w:rFonts w:asciiTheme="majorBidi" w:eastAsia="Times New Roman" w:hAnsiTheme="majorBidi" w:cstheme="majorBidi"/>
          <w:i/>
          <w:iCs/>
        </w:rPr>
        <w:t>Email: </w:t>
      </w:r>
      <w:hyperlink r:id="rId6" w:tooltip="Link to email address" w:history="1">
        <w:r w:rsidRPr="00B4424F">
          <w:rPr>
            <w:rFonts w:asciiTheme="majorBidi" w:eastAsia="Times New Roman" w:hAnsiTheme="majorBidi" w:cstheme="majorBidi"/>
            <w:i/>
            <w:iCs/>
          </w:rPr>
          <w:t>sabersoltani71@gmail.com</w:t>
        </w:r>
      </w:hyperlink>
    </w:p>
    <w:p w14:paraId="535AFDE1" w14:textId="77777777" w:rsidR="00B4424F" w:rsidRPr="00B4424F" w:rsidRDefault="00B4424F" w:rsidP="00F64F0E">
      <w:pPr>
        <w:spacing w:after="0" w:line="276" w:lineRule="auto"/>
        <w:jc w:val="both"/>
        <w:rPr>
          <w:rFonts w:asciiTheme="majorBidi" w:hAnsiTheme="majorBidi" w:cstheme="majorBidi"/>
          <w:sz w:val="24"/>
          <w:szCs w:val="24"/>
        </w:rPr>
      </w:pPr>
    </w:p>
    <w:p w14:paraId="1AED582B" w14:textId="77777777" w:rsidR="00B4424F" w:rsidRPr="00F64F0E" w:rsidRDefault="00B4424F" w:rsidP="00F64F0E">
      <w:pPr>
        <w:pStyle w:val="Heading2"/>
        <w:shd w:val="clear" w:color="auto" w:fill="FFFFFF"/>
        <w:spacing w:before="0" w:line="276" w:lineRule="auto"/>
        <w:jc w:val="both"/>
        <w:rPr>
          <w:rFonts w:asciiTheme="majorBidi" w:hAnsiTheme="majorBidi"/>
          <w:b/>
          <w:bCs/>
          <w:color w:val="auto"/>
          <w:sz w:val="24"/>
          <w:szCs w:val="24"/>
        </w:rPr>
      </w:pPr>
      <w:r w:rsidRPr="00F64F0E">
        <w:rPr>
          <w:rFonts w:asciiTheme="majorBidi" w:hAnsiTheme="majorBidi"/>
          <w:b/>
          <w:bCs/>
          <w:color w:val="auto"/>
          <w:sz w:val="24"/>
          <w:szCs w:val="24"/>
        </w:rPr>
        <w:t>Abstract</w:t>
      </w:r>
    </w:p>
    <w:p w14:paraId="1E5C3048" w14:textId="77777777" w:rsidR="00B4424F" w:rsidRPr="00F64F0E" w:rsidRDefault="00B4424F" w:rsidP="00F64F0E">
      <w:pPr>
        <w:pStyle w:val="Heading3"/>
        <w:shd w:val="clear" w:color="auto" w:fill="FFFFFF"/>
        <w:spacing w:before="0" w:line="276" w:lineRule="auto"/>
        <w:jc w:val="both"/>
        <w:rPr>
          <w:rFonts w:asciiTheme="majorBidi" w:hAnsiTheme="majorBidi"/>
          <w:b/>
          <w:bCs/>
          <w:color w:val="auto"/>
        </w:rPr>
      </w:pPr>
      <w:r w:rsidRPr="00F64F0E">
        <w:rPr>
          <w:rFonts w:asciiTheme="majorBidi" w:hAnsiTheme="majorBidi"/>
          <w:b/>
          <w:bCs/>
          <w:color w:val="auto"/>
        </w:rPr>
        <w:t>Background</w:t>
      </w:r>
    </w:p>
    <w:p w14:paraId="51B4F8A5" w14:textId="77777777" w:rsidR="00B4424F" w:rsidRPr="00B4424F" w:rsidRDefault="00B4424F" w:rsidP="00F64F0E">
      <w:pPr>
        <w:pStyle w:val="NormalWeb"/>
        <w:shd w:val="clear" w:color="auto" w:fill="FFFFFF"/>
        <w:spacing w:before="0" w:beforeAutospacing="0" w:after="0" w:afterAutospacing="0" w:line="276" w:lineRule="auto"/>
        <w:jc w:val="both"/>
        <w:rPr>
          <w:rFonts w:asciiTheme="majorBidi" w:hAnsiTheme="majorBidi" w:cstheme="majorBidi"/>
        </w:rPr>
      </w:pPr>
      <w:r w:rsidRPr="00B4424F">
        <w:rPr>
          <w:rFonts w:asciiTheme="majorBidi" w:hAnsiTheme="majorBidi" w:cstheme="majorBidi"/>
        </w:rPr>
        <w:t>To provide information about pathogens’ coinfection prevalence with SARS-CoV-2 could be a real help to save patients’ lives. This study aims to evaluate the pathogens’ coinfection prevalence among COVID-19 patients.</w:t>
      </w:r>
    </w:p>
    <w:p w14:paraId="26B3BE84" w14:textId="77777777" w:rsidR="00B4424F" w:rsidRPr="00F64F0E" w:rsidRDefault="00B4424F" w:rsidP="00F64F0E">
      <w:pPr>
        <w:pStyle w:val="Heading3"/>
        <w:shd w:val="clear" w:color="auto" w:fill="FFFFFF"/>
        <w:spacing w:before="0" w:line="276" w:lineRule="auto"/>
        <w:jc w:val="both"/>
        <w:rPr>
          <w:rFonts w:asciiTheme="majorBidi" w:hAnsiTheme="majorBidi"/>
          <w:b/>
          <w:bCs/>
          <w:color w:val="auto"/>
        </w:rPr>
      </w:pPr>
      <w:r w:rsidRPr="00F64F0E">
        <w:rPr>
          <w:rFonts w:asciiTheme="majorBidi" w:hAnsiTheme="majorBidi"/>
          <w:b/>
          <w:bCs/>
          <w:color w:val="auto"/>
        </w:rPr>
        <w:t>Method</w:t>
      </w:r>
    </w:p>
    <w:p w14:paraId="58A088FF" w14:textId="77777777" w:rsidR="00B4424F" w:rsidRPr="00F64F0E" w:rsidRDefault="00B4424F" w:rsidP="00F64F0E">
      <w:pPr>
        <w:pStyle w:val="NormalWeb"/>
        <w:shd w:val="clear" w:color="auto" w:fill="FFFFFF"/>
        <w:spacing w:before="0" w:beforeAutospacing="0" w:after="0" w:afterAutospacing="0" w:line="276" w:lineRule="auto"/>
        <w:jc w:val="both"/>
        <w:rPr>
          <w:rFonts w:asciiTheme="majorBidi" w:hAnsiTheme="majorBidi" w:cstheme="majorBidi"/>
          <w:b/>
          <w:bCs/>
        </w:rPr>
      </w:pPr>
      <w:r w:rsidRPr="00B4424F">
        <w:rPr>
          <w:rFonts w:asciiTheme="majorBidi" w:hAnsiTheme="majorBidi" w:cstheme="majorBidi"/>
        </w:rPr>
        <w:t xml:space="preserve">In order to find all of the relevant articles, we used systematic search approach. Research-based databases including PubMed, Web of Science, Embase, and Scopus, without language restrictions, were searched to identify the relevant bacterial, fungal, and viral coinfections among COVID-19 cases from December 1, 2019, to August 23, 2021. In order to dig deeper, other scientific </w:t>
      </w:r>
      <w:r w:rsidRPr="00F64F0E">
        <w:rPr>
          <w:rFonts w:asciiTheme="majorBidi" w:hAnsiTheme="majorBidi" w:cstheme="majorBidi"/>
          <w:b/>
          <w:bCs/>
        </w:rPr>
        <w:t xml:space="preserve">repositories such as </w:t>
      </w:r>
      <w:proofErr w:type="spellStart"/>
      <w:r w:rsidRPr="00F64F0E">
        <w:rPr>
          <w:rFonts w:asciiTheme="majorBidi" w:hAnsiTheme="majorBidi" w:cstheme="majorBidi"/>
          <w:b/>
          <w:bCs/>
        </w:rPr>
        <w:t>Medrxiv</w:t>
      </w:r>
      <w:proofErr w:type="spellEnd"/>
      <w:r w:rsidRPr="00F64F0E">
        <w:rPr>
          <w:rFonts w:asciiTheme="majorBidi" w:hAnsiTheme="majorBidi" w:cstheme="majorBidi"/>
          <w:b/>
          <w:bCs/>
        </w:rPr>
        <w:t xml:space="preserve"> were probed.</w:t>
      </w:r>
    </w:p>
    <w:p w14:paraId="21B47D93" w14:textId="77777777" w:rsidR="00B4424F" w:rsidRPr="00F64F0E" w:rsidRDefault="00B4424F" w:rsidP="00F64F0E">
      <w:pPr>
        <w:pStyle w:val="Heading3"/>
        <w:shd w:val="clear" w:color="auto" w:fill="FFFFFF"/>
        <w:spacing w:before="0" w:line="276" w:lineRule="auto"/>
        <w:jc w:val="both"/>
        <w:rPr>
          <w:rFonts w:asciiTheme="majorBidi" w:hAnsiTheme="majorBidi"/>
          <w:b/>
          <w:bCs/>
          <w:color w:val="auto"/>
        </w:rPr>
      </w:pPr>
      <w:r w:rsidRPr="00F64F0E">
        <w:rPr>
          <w:rFonts w:asciiTheme="majorBidi" w:hAnsiTheme="majorBidi"/>
          <w:b/>
          <w:bCs/>
          <w:color w:val="auto"/>
        </w:rPr>
        <w:t>Results</w:t>
      </w:r>
    </w:p>
    <w:p w14:paraId="24422933" w14:textId="77777777" w:rsidR="00B4424F" w:rsidRPr="00B4424F" w:rsidRDefault="00B4424F" w:rsidP="00F64F0E">
      <w:pPr>
        <w:pStyle w:val="NormalWeb"/>
        <w:shd w:val="clear" w:color="auto" w:fill="FFFFFF"/>
        <w:spacing w:before="0" w:beforeAutospacing="0" w:after="0" w:afterAutospacing="0" w:line="276" w:lineRule="auto"/>
        <w:jc w:val="both"/>
        <w:rPr>
          <w:rFonts w:asciiTheme="majorBidi" w:hAnsiTheme="majorBidi" w:cstheme="majorBidi"/>
        </w:rPr>
      </w:pPr>
      <w:r w:rsidRPr="00B4424F">
        <w:rPr>
          <w:rFonts w:asciiTheme="majorBidi" w:hAnsiTheme="majorBidi" w:cstheme="majorBidi"/>
        </w:rPr>
        <w:t>A total of 13,023 studies were found through systematic search. After thorough analysis, only 64 studies with 61,547 patients were included in the study. The most common causative agents of coinfection among COVID-19 patients were bacteria (pooled prevalence: 20.97%; 95% CI: 15.95–26.46; </w:t>
      </w:r>
      <w:r w:rsidRPr="00B4424F">
        <w:rPr>
          <w:rFonts w:asciiTheme="majorBidi" w:hAnsiTheme="majorBidi" w:cstheme="majorBidi"/>
          <w:i/>
          <w:iCs/>
        </w:rPr>
        <w:t>I</w:t>
      </w:r>
      <w:r w:rsidRPr="00B4424F">
        <w:rPr>
          <w:rFonts w:asciiTheme="majorBidi" w:hAnsiTheme="majorBidi" w:cstheme="majorBidi"/>
          <w:vertAlign w:val="superscript"/>
        </w:rPr>
        <w:t>2</w:t>
      </w:r>
      <w:r w:rsidRPr="00B4424F">
        <w:rPr>
          <w:rFonts w:asciiTheme="majorBidi" w:hAnsiTheme="majorBidi" w:cstheme="majorBidi"/>
        </w:rPr>
        <w:t>: 99.9%) and less frequent were virus coinfections (pooled prevalence: 12.58%; 95% CI: 7.31–18.96; </w:t>
      </w:r>
      <w:r w:rsidRPr="00B4424F">
        <w:rPr>
          <w:rFonts w:asciiTheme="majorBidi" w:hAnsiTheme="majorBidi" w:cstheme="majorBidi"/>
          <w:i/>
          <w:iCs/>
        </w:rPr>
        <w:t>I</w:t>
      </w:r>
      <w:r w:rsidRPr="00B4424F">
        <w:rPr>
          <w:rFonts w:asciiTheme="majorBidi" w:hAnsiTheme="majorBidi" w:cstheme="majorBidi"/>
          <w:vertAlign w:val="superscript"/>
        </w:rPr>
        <w:t>2</w:t>
      </w:r>
      <w:r w:rsidRPr="00B4424F">
        <w:rPr>
          <w:rFonts w:asciiTheme="majorBidi" w:hAnsiTheme="majorBidi" w:cstheme="majorBidi"/>
        </w:rPr>
        <w:t>: 98.7%). The pooled prevalence of fungal coinfections was also 12.60% (95% CI: 7.84–17.36; </w:t>
      </w:r>
      <w:r w:rsidRPr="00B4424F">
        <w:rPr>
          <w:rFonts w:asciiTheme="majorBidi" w:hAnsiTheme="majorBidi" w:cstheme="majorBidi"/>
          <w:i/>
          <w:iCs/>
        </w:rPr>
        <w:t>I</w:t>
      </w:r>
      <w:r w:rsidRPr="00B4424F">
        <w:rPr>
          <w:rFonts w:asciiTheme="majorBidi" w:hAnsiTheme="majorBidi" w:cstheme="majorBidi"/>
          <w:vertAlign w:val="superscript"/>
        </w:rPr>
        <w:t>2</w:t>
      </w:r>
      <w:r w:rsidRPr="00B4424F">
        <w:rPr>
          <w:rFonts w:asciiTheme="majorBidi" w:hAnsiTheme="majorBidi" w:cstheme="majorBidi"/>
        </w:rPr>
        <w:t>: 98.3%). Meta-regression analysis showed that the age sample size and WHO geographic region did not influenced heterogeneity.</w:t>
      </w:r>
    </w:p>
    <w:p w14:paraId="1933573B" w14:textId="77777777" w:rsidR="00B4424F" w:rsidRPr="00F64F0E" w:rsidRDefault="00B4424F" w:rsidP="00F64F0E">
      <w:pPr>
        <w:pStyle w:val="Heading3"/>
        <w:shd w:val="clear" w:color="auto" w:fill="FFFFFF"/>
        <w:spacing w:before="0" w:line="276" w:lineRule="auto"/>
        <w:jc w:val="both"/>
        <w:rPr>
          <w:rFonts w:asciiTheme="majorBidi" w:hAnsiTheme="majorBidi"/>
          <w:b/>
          <w:bCs/>
          <w:color w:val="auto"/>
        </w:rPr>
      </w:pPr>
      <w:r w:rsidRPr="00F64F0E">
        <w:rPr>
          <w:rFonts w:asciiTheme="majorBidi" w:hAnsiTheme="majorBidi"/>
          <w:b/>
          <w:bCs/>
          <w:color w:val="auto"/>
        </w:rPr>
        <w:t>Conclusion</w:t>
      </w:r>
    </w:p>
    <w:p w14:paraId="61A633C5" w14:textId="77777777" w:rsidR="00B4424F" w:rsidRPr="00B4424F" w:rsidRDefault="00B4424F" w:rsidP="00F64F0E">
      <w:pPr>
        <w:pStyle w:val="NormalWeb"/>
        <w:shd w:val="clear" w:color="auto" w:fill="FFFFFF"/>
        <w:spacing w:before="0" w:beforeAutospacing="0" w:after="0" w:afterAutospacing="0" w:line="276" w:lineRule="auto"/>
        <w:jc w:val="both"/>
        <w:rPr>
          <w:rFonts w:asciiTheme="majorBidi" w:hAnsiTheme="majorBidi" w:cstheme="majorBidi"/>
        </w:rPr>
      </w:pPr>
      <w:r w:rsidRPr="00B4424F">
        <w:rPr>
          <w:rFonts w:asciiTheme="majorBidi" w:hAnsiTheme="majorBidi" w:cstheme="majorBidi"/>
        </w:rPr>
        <w:t>We identified a high prevalence of pathogenic microorganism coinfection among COVID-19 patients. Because of this rate of coinfection empirical use of antibacterial, antifungal, and antiviral treatment are advisable specifically at the early stage of COVID-19 infection. We also suggest running simultaneously diagnostic tests to identify other microbiological agents’ coinfection with SARS-CoV-2.</w:t>
      </w:r>
    </w:p>
    <w:p w14:paraId="6924E0C5" w14:textId="77777777" w:rsidR="00B4424F" w:rsidRPr="00B4424F" w:rsidRDefault="00B4424F" w:rsidP="00F64F0E">
      <w:pPr>
        <w:spacing w:after="0" w:line="276" w:lineRule="auto"/>
        <w:jc w:val="both"/>
        <w:rPr>
          <w:rFonts w:asciiTheme="majorBidi" w:hAnsiTheme="majorBidi" w:cstheme="majorBidi"/>
          <w:sz w:val="24"/>
          <w:szCs w:val="24"/>
        </w:rPr>
      </w:pPr>
    </w:p>
    <w:sectPr w:rsidR="00B4424F" w:rsidRPr="00B44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9628B"/>
    <w:multiLevelType w:val="multilevel"/>
    <w:tmpl w:val="7C24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7B2745"/>
    <w:multiLevelType w:val="multilevel"/>
    <w:tmpl w:val="9942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AwNbEwMDEztTA2NTVV0lEKTi0uzszPAykwrAUAnUKNRCwAAAA="/>
  </w:docVars>
  <w:rsids>
    <w:rsidRoot w:val="00403D68"/>
    <w:rsid w:val="00403D68"/>
    <w:rsid w:val="00B4424F"/>
    <w:rsid w:val="00F525F0"/>
    <w:rsid w:val="00F64F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8CA19"/>
  <w15:chartTrackingRefBased/>
  <w15:docId w15:val="{D94B4B9B-EBE3-4F40-BA0B-F7C92709F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442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442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442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24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B4424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4424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B442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4424F"/>
    <w:rPr>
      <w:color w:val="0000FF"/>
      <w:u w:val="single"/>
    </w:rPr>
  </w:style>
  <w:style w:type="paragraph" w:customStyle="1" w:styleId="author-name">
    <w:name w:val="author-name"/>
    <w:basedOn w:val="Normal"/>
    <w:rsid w:val="00B442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ccountitem">
    <w:name w:val="sm-account__item"/>
    <w:basedOn w:val="Normal"/>
    <w:rsid w:val="00B442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450307">
      <w:bodyDiv w:val="1"/>
      <w:marLeft w:val="0"/>
      <w:marRight w:val="0"/>
      <w:marTop w:val="0"/>
      <w:marBottom w:val="0"/>
      <w:divBdr>
        <w:top w:val="none" w:sz="0" w:space="0" w:color="auto"/>
        <w:left w:val="none" w:sz="0" w:space="0" w:color="auto"/>
        <w:bottom w:val="none" w:sz="0" w:space="0" w:color="auto"/>
        <w:right w:val="none" w:sz="0" w:space="0" w:color="auto"/>
      </w:divBdr>
      <w:divsChild>
        <w:div w:id="726612336">
          <w:marLeft w:val="0"/>
          <w:marRight w:val="0"/>
          <w:marTop w:val="0"/>
          <w:marBottom w:val="0"/>
          <w:divBdr>
            <w:top w:val="none" w:sz="0" w:space="0" w:color="auto"/>
            <w:left w:val="none" w:sz="0" w:space="0" w:color="auto"/>
            <w:bottom w:val="none" w:sz="0" w:space="0" w:color="auto"/>
            <w:right w:val="none" w:sz="0" w:space="0" w:color="auto"/>
          </w:divBdr>
        </w:div>
      </w:divsChild>
    </w:div>
    <w:div w:id="889461484">
      <w:bodyDiv w:val="1"/>
      <w:marLeft w:val="0"/>
      <w:marRight w:val="0"/>
      <w:marTop w:val="0"/>
      <w:marBottom w:val="0"/>
      <w:divBdr>
        <w:top w:val="none" w:sz="0" w:space="0" w:color="auto"/>
        <w:left w:val="none" w:sz="0" w:space="0" w:color="auto"/>
        <w:bottom w:val="none" w:sz="0" w:space="0" w:color="auto"/>
        <w:right w:val="none" w:sz="0" w:space="0" w:color="auto"/>
      </w:divBdr>
    </w:div>
    <w:div w:id="101407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bersoltani71@gmail.com" TargetMode="External"/><Relationship Id="rId5" Type="http://schemas.openxmlformats.org/officeDocument/2006/relationships/hyperlink" Target="https://orcid.org/0000-0003-3369-085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SabooR</dc:creator>
  <cp:keywords/>
  <dc:description/>
  <cp:lastModifiedBy>SabooR</cp:lastModifiedBy>
  <cp:revision>3</cp:revision>
  <dcterms:created xsi:type="dcterms:W3CDTF">2022-03-04T08:06:00Z</dcterms:created>
  <dcterms:modified xsi:type="dcterms:W3CDTF">2022-03-04T08:13:00Z</dcterms:modified>
</cp:coreProperties>
</file>