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6F607" w14:textId="1EE8B734" w:rsidR="00927102" w:rsidRDefault="008B1B10" w:rsidP="008B1B10">
      <w:pPr>
        <w:spacing w:after="0" w:line="360" w:lineRule="auto"/>
        <w:ind w:firstLine="284"/>
        <w:jc w:val="right"/>
        <w:rPr>
          <w:rFonts w:asciiTheme="majorBidi" w:hAnsiTheme="majorBidi" w:cstheme="majorBidi"/>
          <w:b/>
          <w:bCs/>
          <w:sz w:val="30"/>
          <w:szCs w:val="30"/>
        </w:rPr>
      </w:pPr>
      <w:r>
        <w:rPr>
          <w:noProof/>
        </w:rPr>
        <w:drawing>
          <wp:inline distT="0" distB="0" distL="0" distR="0" wp14:anchorId="712279A6" wp14:editId="5FDDA023">
            <wp:extent cx="1486535" cy="18796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93414" cy="1888298"/>
                    </a:xfrm>
                    <a:prstGeom prst="rect">
                      <a:avLst/>
                    </a:prstGeom>
                    <a:noFill/>
                    <a:ln>
                      <a:noFill/>
                    </a:ln>
                  </pic:spPr>
                </pic:pic>
              </a:graphicData>
            </a:graphic>
          </wp:inline>
        </w:drawing>
      </w:r>
    </w:p>
    <w:p w14:paraId="6E9505BC" w14:textId="79266754" w:rsidR="00927102" w:rsidRPr="00873737" w:rsidRDefault="00927102" w:rsidP="00927102">
      <w:pPr>
        <w:spacing w:after="0" w:line="360" w:lineRule="auto"/>
        <w:ind w:firstLine="284"/>
        <w:jc w:val="center"/>
        <w:rPr>
          <w:rFonts w:asciiTheme="majorBidi" w:hAnsiTheme="majorBidi" w:cstheme="majorBidi"/>
          <w:sz w:val="30"/>
          <w:szCs w:val="30"/>
        </w:rPr>
      </w:pPr>
      <w:r w:rsidRPr="00873737">
        <w:rPr>
          <w:rFonts w:asciiTheme="majorBidi" w:hAnsiTheme="majorBidi" w:cstheme="majorBidi"/>
          <w:b/>
          <w:bCs/>
          <w:sz w:val="30"/>
          <w:szCs w:val="30"/>
        </w:rPr>
        <w:t>Nano Biotics and Infectious Diseases in the Antibiotic Resistance Era</w:t>
      </w:r>
    </w:p>
    <w:p w14:paraId="6609F0D6" w14:textId="77777777" w:rsidR="00927102" w:rsidRPr="00873737" w:rsidRDefault="00927102" w:rsidP="00927102">
      <w:pPr>
        <w:spacing w:after="0" w:line="360" w:lineRule="auto"/>
        <w:ind w:firstLine="284"/>
        <w:jc w:val="center"/>
        <w:rPr>
          <w:rFonts w:asciiTheme="majorBidi" w:hAnsiTheme="majorBidi" w:cstheme="majorBidi"/>
          <w:b/>
          <w:bCs/>
          <w:sz w:val="24"/>
          <w:szCs w:val="24"/>
          <w:u w:val="single"/>
        </w:rPr>
      </w:pPr>
    </w:p>
    <w:p w14:paraId="26691F2E" w14:textId="77777777" w:rsidR="00927102" w:rsidRDefault="00927102" w:rsidP="00927102">
      <w:pPr>
        <w:spacing w:after="0" w:line="360" w:lineRule="auto"/>
        <w:ind w:firstLine="284"/>
        <w:jc w:val="center"/>
        <w:rPr>
          <w:rFonts w:ascii="Times New Roman" w:hAnsi="Times New Roman" w:cs="Times New Roman"/>
          <w:b/>
          <w:bCs/>
          <w:sz w:val="24"/>
          <w:szCs w:val="24"/>
        </w:rPr>
      </w:pPr>
      <w:r>
        <w:rPr>
          <w:rFonts w:ascii="Times New Roman" w:hAnsi="Times New Roman" w:cs="Times New Roman"/>
          <w:b/>
          <w:bCs/>
          <w:sz w:val="24"/>
          <w:szCs w:val="24"/>
        </w:rPr>
        <w:t>Helmy, E.A.</w:t>
      </w:r>
      <w:r>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and </w:t>
      </w:r>
      <w:proofErr w:type="spellStart"/>
      <w:r>
        <w:rPr>
          <w:rFonts w:ascii="Times New Roman" w:hAnsi="Times New Roman" w:cs="Times New Roman"/>
          <w:b/>
          <w:bCs/>
          <w:sz w:val="24"/>
          <w:szCs w:val="24"/>
        </w:rPr>
        <w:t>Sadik</w:t>
      </w:r>
      <w:proofErr w:type="spellEnd"/>
      <w:r>
        <w:rPr>
          <w:rFonts w:ascii="Times New Roman" w:hAnsi="Times New Roman" w:cs="Times New Roman"/>
          <w:b/>
          <w:bCs/>
          <w:sz w:val="24"/>
          <w:szCs w:val="24"/>
        </w:rPr>
        <w:t xml:space="preserve"> M. W.</w:t>
      </w:r>
      <w:r>
        <w:rPr>
          <w:rFonts w:ascii="Times New Roman" w:hAnsi="Times New Roman" w:cs="Times New Roman"/>
          <w:b/>
          <w:bCs/>
          <w:sz w:val="24"/>
          <w:szCs w:val="24"/>
          <w:vertAlign w:val="superscript"/>
        </w:rPr>
        <w:t xml:space="preserve"> 2</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Zaghlol</w:t>
      </w:r>
      <w:proofErr w:type="spellEnd"/>
      <w:r>
        <w:rPr>
          <w:rFonts w:ascii="Times New Roman" w:hAnsi="Times New Roman" w:cs="Times New Roman"/>
          <w:b/>
          <w:bCs/>
          <w:sz w:val="24"/>
          <w:szCs w:val="24"/>
        </w:rPr>
        <w:t xml:space="preserve"> G. </w:t>
      </w:r>
      <w:r>
        <w:rPr>
          <w:rFonts w:ascii="Times New Roman" w:hAnsi="Times New Roman" w:cs="Times New Roman"/>
          <w:b/>
          <w:bCs/>
          <w:sz w:val="24"/>
          <w:szCs w:val="24"/>
          <w:vertAlign w:val="superscript"/>
        </w:rPr>
        <w:t>3</w:t>
      </w:r>
    </w:p>
    <w:p w14:paraId="29DDEE98" w14:textId="77777777" w:rsidR="00927102" w:rsidRDefault="00927102" w:rsidP="00927102">
      <w:pPr>
        <w:spacing w:after="0" w:line="360" w:lineRule="auto"/>
        <w:ind w:firstLine="284"/>
        <w:jc w:val="center"/>
        <w:rPr>
          <w:rFonts w:ascii="Times New Roman" w:hAnsi="Times New Roman" w:cs="Times New Roman"/>
          <w:b/>
          <w:bCs/>
          <w:sz w:val="20"/>
          <w:szCs w:val="20"/>
          <w:u w:val="single"/>
        </w:rPr>
      </w:pPr>
    </w:p>
    <w:p w14:paraId="4217109D" w14:textId="77777777" w:rsidR="00927102" w:rsidRDefault="00927102" w:rsidP="00927102">
      <w:pPr>
        <w:spacing w:line="360" w:lineRule="auto"/>
        <w:ind w:firstLine="284"/>
        <w:contextualSpacing/>
        <w:jc w:val="center"/>
        <w:rPr>
          <w:rFonts w:ascii="Times New Roman" w:hAnsi="Times New Roman" w:cs="Times New Roman"/>
          <w:b/>
          <w:bCs/>
          <w:sz w:val="20"/>
          <w:szCs w:val="20"/>
        </w:rPr>
      </w:pPr>
      <w:r>
        <w:rPr>
          <w:rFonts w:ascii="Times New Roman" w:hAnsi="Times New Roman" w:cs="Times New Roman"/>
          <w:b/>
          <w:bCs/>
          <w:sz w:val="20"/>
          <w:szCs w:val="20"/>
          <w:vertAlign w:val="superscript"/>
        </w:rPr>
        <w:t>1</w:t>
      </w:r>
      <w:r>
        <w:rPr>
          <w:rFonts w:ascii="Times New Roman" w:hAnsi="Times New Roman" w:cs="Times New Roman"/>
          <w:b/>
          <w:bCs/>
          <w:sz w:val="20"/>
          <w:szCs w:val="20"/>
        </w:rPr>
        <w:t>The Regional Center for Mycology and Biotechnology, (RCMB), Al-Azhar University, Cairo, Egypt.</w:t>
      </w:r>
    </w:p>
    <w:p w14:paraId="09E5373F" w14:textId="77777777" w:rsidR="00927102" w:rsidRDefault="00927102" w:rsidP="00927102">
      <w:pPr>
        <w:spacing w:line="360" w:lineRule="auto"/>
        <w:ind w:firstLine="284"/>
        <w:contextualSpacing/>
        <w:jc w:val="center"/>
        <w:rPr>
          <w:rFonts w:ascii="Times New Roman" w:hAnsi="Times New Roman" w:cs="Times New Roman"/>
          <w:b/>
          <w:bCs/>
          <w:sz w:val="20"/>
          <w:szCs w:val="20"/>
        </w:rPr>
      </w:pPr>
      <w:r>
        <w:rPr>
          <w:rFonts w:ascii="Times New Roman" w:hAnsi="Times New Roman" w:cs="Times New Roman"/>
          <w:b/>
          <w:bCs/>
          <w:sz w:val="20"/>
          <w:szCs w:val="20"/>
          <w:vertAlign w:val="superscript"/>
        </w:rPr>
        <w:t>2</w:t>
      </w:r>
      <w:r>
        <w:rPr>
          <w:rFonts w:ascii="Times New Roman" w:hAnsi="Times New Roman" w:cs="Times New Roman"/>
          <w:b/>
          <w:bCs/>
          <w:sz w:val="20"/>
          <w:szCs w:val="20"/>
        </w:rPr>
        <w:t>Department of Microbiology, Faculty of Agriculture, Cairo University, Cairo, Egypt.</w:t>
      </w:r>
    </w:p>
    <w:p w14:paraId="3985280E" w14:textId="77777777" w:rsidR="00927102" w:rsidRDefault="00927102" w:rsidP="00927102">
      <w:pPr>
        <w:spacing w:line="360" w:lineRule="auto"/>
        <w:ind w:firstLine="284"/>
        <w:contextualSpacing/>
        <w:jc w:val="center"/>
        <w:rPr>
          <w:rFonts w:ascii="Times New Roman" w:hAnsi="Times New Roman" w:cs="Times New Roman"/>
          <w:b/>
          <w:bCs/>
          <w:sz w:val="20"/>
          <w:szCs w:val="20"/>
        </w:rPr>
      </w:pPr>
      <w:r>
        <w:rPr>
          <w:rFonts w:ascii="Times New Roman" w:hAnsi="Times New Roman" w:cs="Times New Roman"/>
          <w:b/>
          <w:bCs/>
          <w:sz w:val="24"/>
          <w:szCs w:val="24"/>
          <w:vertAlign w:val="superscript"/>
        </w:rPr>
        <w:t>3</w:t>
      </w:r>
      <w:r>
        <w:rPr>
          <w:rFonts w:ascii="Times New Roman" w:hAnsi="Times New Roman" w:cs="Times New Roman"/>
          <w:b/>
          <w:bCs/>
          <w:sz w:val="20"/>
          <w:szCs w:val="20"/>
        </w:rPr>
        <w:t>Department of Microbiology, Faculty of Science, Helwan University, Cairo, Egypt</w:t>
      </w:r>
    </w:p>
    <w:p w14:paraId="445E7575" w14:textId="77777777" w:rsidR="00927102" w:rsidRPr="00873737" w:rsidRDefault="00927102" w:rsidP="00927102">
      <w:pPr>
        <w:spacing w:after="0" w:line="360" w:lineRule="auto"/>
        <w:ind w:firstLine="284"/>
        <w:contextualSpacing/>
        <w:jc w:val="both"/>
        <w:rPr>
          <w:rFonts w:asciiTheme="majorBidi" w:hAnsiTheme="majorBidi" w:cstheme="majorBidi"/>
          <w:b/>
          <w:bCs/>
          <w:sz w:val="24"/>
          <w:szCs w:val="24"/>
        </w:rPr>
      </w:pPr>
    </w:p>
    <w:p w14:paraId="76CCD135" w14:textId="77777777" w:rsidR="00927102" w:rsidRPr="00873737" w:rsidRDefault="00927102" w:rsidP="00927102">
      <w:pPr>
        <w:spacing w:after="0" w:line="360" w:lineRule="auto"/>
        <w:ind w:firstLine="284"/>
        <w:jc w:val="both"/>
        <w:rPr>
          <w:rFonts w:asciiTheme="majorBidi" w:hAnsiTheme="majorBidi" w:cstheme="majorBidi"/>
          <w:b/>
          <w:bCs/>
          <w:sz w:val="24"/>
          <w:szCs w:val="24"/>
        </w:rPr>
      </w:pPr>
      <w:r w:rsidRPr="00873737">
        <w:rPr>
          <w:rFonts w:asciiTheme="majorBidi" w:hAnsiTheme="majorBidi" w:cstheme="majorBidi"/>
          <w:b/>
          <w:bCs/>
          <w:sz w:val="24"/>
          <w:szCs w:val="24"/>
        </w:rPr>
        <w:t>ABSTRACT</w:t>
      </w:r>
    </w:p>
    <w:p w14:paraId="2A82D7F0" w14:textId="77777777" w:rsidR="00927102" w:rsidRPr="00642553" w:rsidRDefault="00927102" w:rsidP="00927102">
      <w:pPr>
        <w:spacing w:after="0" w:line="360" w:lineRule="auto"/>
        <w:ind w:firstLine="284"/>
        <w:jc w:val="both"/>
        <w:rPr>
          <w:rFonts w:asciiTheme="majorBidi" w:hAnsiTheme="majorBidi" w:cstheme="majorBidi"/>
          <w:sz w:val="20"/>
          <w:szCs w:val="20"/>
          <w:rtl/>
        </w:rPr>
      </w:pPr>
      <w:r w:rsidRPr="00642553">
        <w:rPr>
          <w:rFonts w:asciiTheme="majorBidi" w:hAnsiTheme="majorBidi" w:cstheme="majorBidi"/>
          <w:sz w:val="20"/>
          <w:szCs w:val="20"/>
        </w:rPr>
        <w:t>Antimicrobial resistance is the capacity of an organism to oppose the impacts of prescriptions previously used to treat them. Resistance emerges through one of three ways: characteristic resistance in specific sorts of an organism, hereditary transformation, or by one species getting resistance from another. Resistance can show up suddenly in view of arbitrary transformations; or more ordinarily following progressive development over time, and due to abuse of antibiotics or antimicrobials. Microorganisms impervious to numerous antimicrobials are called multidrug resistant (MDR); or in some cases superbugs which include all classes of microbes: fungi, viruses, protozoa, and bacteria can develop antibiotic resistance. Resistant organisms are progressively hard to treat, requiring elective pharmaceuticals or higher doses, both of which might be costlier, toxic or more lethal, thus antimicrobial resistance is on the ascent with a vast number of mortalities yearly.</w:t>
      </w:r>
      <w:r>
        <w:rPr>
          <w:rFonts w:asciiTheme="majorBidi" w:hAnsiTheme="majorBidi" w:cstheme="majorBidi"/>
          <w:sz w:val="20"/>
          <w:szCs w:val="20"/>
        </w:rPr>
        <w:t xml:space="preserve"> </w:t>
      </w:r>
      <w:r w:rsidRPr="00642553">
        <w:rPr>
          <w:rFonts w:asciiTheme="majorBidi" w:hAnsiTheme="majorBidi" w:cstheme="majorBidi"/>
          <w:sz w:val="20"/>
          <w:szCs w:val="20"/>
        </w:rPr>
        <w:t xml:space="preserve">Microbial strains resistant to the antibiotics now in use have become a critical public health dilemma that encourages the necessity to renovate new microbicidal resources. Subsequently, there is a robust claim for developing unique approaches and newfound materials that can manage with these critical concerns. The materialization of nano-bio-technology has generated countless novel antimicrobial alternatives. The tiny dimension of the </w:t>
      </w:r>
      <w:r w:rsidRPr="00642553">
        <w:rPr>
          <w:rFonts w:asciiTheme="majorBidi" w:hAnsiTheme="majorBidi" w:cstheme="majorBidi"/>
          <w:sz w:val="20"/>
          <w:szCs w:val="20"/>
        </w:rPr>
        <w:lastRenderedPageBreak/>
        <w:t xml:space="preserve">bionanomaterials is exact proper for functioning antimicrobial biotic acts. Several </w:t>
      </w:r>
      <w:r w:rsidRPr="00642553">
        <w:rPr>
          <w:rFonts w:asciiTheme="majorBidi" w:hAnsiTheme="majorBidi" w:cstheme="majorBidi"/>
          <w:i/>
          <w:iCs/>
          <w:sz w:val="20"/>
          <w:szCs w:val="20"/>
        </w:rPr>
        <w:t>In vitro</w:t>
      </w:r>
      <w:r w:rsidRPr="00642553">
        <w:rPr>
          <w:rFonts w:asciiTheme="majorBidi" w:hAnsiTheme="majorBidi" w:cstheme="majorBidi"/>
          <w:sz w:val="20"/>
          <w:szCs w:val="20"/>
        </w:rPr>
        <w:t xml:space="preserve"> reports have been classified the nanoparticle applications of natural origin, which inhibit a variety of microbial cell varieties and fluctuate in their efficiency due to varied material-bases and of miscellaneous sizes. </w:t>
      </w:r>
    </w:p>
    <w:p w14:paraId="78A2EB6D" w14:textId="77777777" w:rsidR="00927102" w:rsidRDefault="00927102" w:rsidP="00927102">
      <w:pPr>
        <w:spacing w:after="0" w:line="360" w:lineRule="auto"/>
        <w:ind w:firstLine="284"/>
        <w:jc w:val="both"/>
        <w:rPr>
          <w:rFonts w:asciiTheme="majorBidi" w:hAnsiTheme="majorBidi" w:cstheme="majorBidi"/>
          <w:b/>
          <w:bCs/>
          <w:sz w:val="20"/>
          <w:szCs w:val="20"/>
        </w:rPr>
      </w:pPr>
      <w:r w:rsidRPr="00642553">
        <w:rPr>
          <w:rFonts w:asciiTheme="majorBidi" w:hAnsiTheme="majorBidi" w:cstheme="majorBidi"/>
          <w:color w:val="131413"/>
          <w:sz w:val="20"/>
          <w:szCs w:val="20"/>
        </w:rPr>
        <w:t xml:space="preserve">The ongoing survey is summarizing all literatures dealing with enhancing the adequacy of the commonly used anti-microbials is to join them with </w:t>
      </w:r>
      <w:proofErr w:type="spellStart"/>
      <w:r w:rsidRPr="00642553">
        <w:rPr>
          <w:rFonts w:asciiTheme="majorBidi" w:hAnsiTheme="majorBidi" w:cstheme="majorBidi"/>
          <w:color w:val="131413"/>
          <w:sz w:val="20"/>
          <w:szCs w:val="20"/>
        </w:rPr>
        <w:t>nanomaterilas</w:t>
      </w:r>
      <w:proofErr w:type="spellEnd"/>
      <w:r w:rsidRPr="00642553">
        <w:rPr>
          <w:rFonts w:asciiTheme="majorBidi" w:hAnsiTheme="majorBidi" w:cstheme="majorBidi"/>
          <w:color w:val="131413"/>
          <w:sz w:val="20"/>
          <w:szCs w:val="20"/>
        </w:rPr>
        <w:t xml:space="preserve"> especially those of biological origins so as to control the microbial diseases remarkably those caused by resistant microorganisms. This review portrays additionally the different microorganism/metals used for biosynthesis of nanostructures and the response parameters utilized as a part of amalgamation of the </w:t>
      </w:r>
      <w:r w:rsidRPr="00642553">
        <w:rPr>
          <w:rFonts w:asciiTheme="majorBidi" w:hAnsiTheme="majorBidi" w:cstheme="majorBidi"/>
          <w:b/>
          <w:bCs/>
          <w:i/>
          <w:iCs/>
          <w:color w:val="131413"/>
          <w:sz w:val="20"/>
          <w:szCs w:val="20"/>
        </w:rPr>
        <w:t>Nano-Biotics</w:t>
      </w:r>
      <w:r w:rsidRPr="00642553">
        <w:rPr>
          <w:rFonts w:asciiTheme="majorBidi" w:hAnsiTheme="majorBidi" w:cstheme="majorBidi"/>
          <w:color w:val="131413"/>
          <w:sz w:val="20"/>
          <w:szCs w:val="20"/>
        </w:rPr>
        <w:t>, which hold unmistakable effect on their size, shape, and applications. As of late distributed data on several nano-drug combinations and its applications toward the treatment of the infectious diseases in the antibiotic resistance era are condensed in this survey too.</w:t>
      </w:r>
    </w:p>
    <w:p w14:paraId="1D2E9B40" w14:textId="77777777" w:rsidR="00927102" w:rsidRDefault="00927102" w:rsidP="00927102">
      <w:pPr>
        <w:spacing w:after="0" w:line="360" w:lineRule="auto"/>
        <w:ind w:firstLine="284"/>
        <w:jc w:val="both"/>
        <w:rPr>
          <w:rFonts w:asciiTheme="majorBidi" w:hAnsiTheme="majorBidi" w:cstheme="majorBidi"/>
          <w:b/>
          <w:bCs/>
          <w:sz w:val="20"/>
          <w:szCs w:val="20"/>
        </w:rPr>
      </w:pPr>
    </w:p>
    <w:p w14:paraId="2006BA66" w14:textId="77777777" w:rsidR="00927102" w:rsidRDefault="00927102" w:rsidP="00927102">
      <w:pPr>
        <w:spacing w:after="0" w:line="360" w:lineRule="auto"/>
        <w:ind w:firstLine="284"/>
        <w:jc w:val="both"/>
        <w:rPr>
          <w:rFonts w:asciiTheme="majorBidi" w:hAnsiTheme="majorBidi" w:cstheme="majorBidi"/>
          <w:b/>
          <w:bCs/>
          <w:sz w:val="20"/>
          <w:szCs w:val="20"/>
        </w:rPr>
      </w:pPr>
    </w:p>
    <w:p w14:paraId="3D298DDB" w14:textId="77777777" w:rsidR="00927102" w:rsidRPr="00642553" w:rsidRDefault="00927102" w:rsidP="00927102">
      <w:pPr>
        <w:spacing w:after="0" w:line="360" w:lineRule="auto"/>
        <w:ind w:firstLine="284"/>
        <w:jc w:val="both"/>
        <w:rPr>
          <w:rFonts w:asciiTheme="majorBidi" w:hAnsiTheme="majorBidi" w:cstheme="majorBidi"/>
          <w:sz w:val="20"/>
          <w:szCs w:val="20"/>
        </w:rPr>
      </w:pPr>
      <w:r w:rsidRPr="00642553">
        <w:rPr>
          <w:rFonts w:asciiTheme="majorBidi" w:hAnsiTheme="majorBidi" w:cstheme="majorBidi"/>
          <w:b/>
          <w:bCs/>
          <w:sz w:val="20"/>
          <w:szCs w:val="20"/>
        </w:rPr>
        <w:t xml:space="preserve"> KEYWORDS</w:t>
      </w:r>
      <w:r w:rsidRPr="00642553">
        <w:rPr>
          <w:rFonts w:asciiTheme="majorBidi" w:hAnsiTheme="majorBidi" w:cstheme="majorBidi"/>
          <w:sz w:val="20"/>
          <w:szCs w:val="20"/>
        </w:rPr>
        <w:t xml:space="preserve">:  Antibiotics, </w:t>
      </w:r>
      <w:r w:rsidRPr="00642553">
        <w:rPr>
          <w:rFonts w:asciiTheme="majorBidi" w:hAnsiTheme="majorBidi" w:cstheme="majorBidi"/>
          <w:i/>
          <w:iCs/>
          <w:color w:val="131413"/>
          <w:sz w:val="20"/>
          <w:szCs w:val="20"/>
        </w:rPr>
        <w:t>Nano-Biotics</w:t>
      </w:r>
      <w:r w:rsidRPr="00642553">
        <w:rPr>
          <w:rFonts w:asciiTheme="majorBidi" w:hAnsiTheme="majorBidi" w:cstheme="majorBidi"/>
          <w:sz w:val="20"/>
          <w:szCs w:val="20"/>
        </w:rPr>
        <w:t>, Multidrug Resistant (MDR), Contagious Diseases.</w:t>
      </w:r>
    </w:p>
    <w:p w14:paraId="526AD107" w14:textId="77777777" w:rsidR="00927102" w:rsidRDefault="00927102"/>
    <w:sectPr w:rsidR="00927102">
      <w:pgSz w:w="12240" w:h="15840"/>
      <w:pgMar w:top="1985"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02"/>
    <w:rsid w:val="008B1B10"/>
    <w:rsid w:val="009271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C760B"/>
  <w15:chartTrackingRefBased/>
  <w15:docId w15:val="{4A0646E3-248F-477B-8ABF-08F78FD6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102"/>
    <w:pPr>
      <w:spacing w:after="200" w:line="276" w:lineRule="auto"/>
    </w:pPr>
    <w:rPr>
      <w:rFonts w:ascii="Calibri" w:eastAsia="Calibri" w:hAnsi="Calibri" w:cs="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helmy</dc:creator>
  <cp:keywords/>
  <dc:description/>
  <cp:lastModifiedBy>Eman helmy</cp:lastModifiedBy>
  <cp:revision>2</cp:revision>
  <dcterms:created xsi:type="dcterms:W3CDTF">2021-09-28T06:37:00Z</dcterms:created>
  <dcterms:modified xsi:type="dcterms:W3CDTF">2021-09-28T06:43:00Z</dcterms:modified>
</cp:coreProperties>
</file>