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111F7" w:rsidP="00E46275">
      <w:pPr>
        <w:pStyle w:val="Titre1"/>
        <w:spacing w:before="170"/>
        <w:ind w:left="142"/>
      </w:pPr>
      <w:r w:rsidRPr="007D6EBE">
        <w:rPr>
          <w:rFonts w:cstheme="majorBidi"/>
          <w:color w:val="4F81BD" w:themeColor="accent1"/>
          <w:sz w:val="32"/>
        </w:rPr>
        <w:t>Bacterial Ecology and Antibiotic Resistance Mechanisms of Isolated Resistant Strains from Diabetic Foot Infections in the North West of Algeria</w:t>
      </w:r>
    </w:p>
    <w:p w:rsidR="003111F7" w:rsidRDefault="003111F7" w:rsidP="00E46275">
      <w:pPr>
        <w:spacing w:line="360" w:lineRule="auto"/>
        <w:ind w:left="142" w:right="-142"/>
        <w:jc w:val="both"/>
        <w:rPr>
          <w:rFonts w:asciiTheme="minorBidi" w:hAnsiTheme="minorBidi" w:cstheme="minorBidi"/>
          <w:b/>
          <w:bCs/>
          <w:sz w:val="18"/>
          <w:szCs w:val="18"/>
          <w:lang w:val="fr-FR"/>
        </w:rPr>
      </w:pPr>
    </w:p>
    <w:p w:rsidR="003111F7" w:rsidRPr="003111F7" w:rsidRDefault="003111F7" w:rsidP="00E46275">
      <w:pPr>
        <w:spacing w:line="360" w:lineRule="auto"/>
        <w:ind w:left="142" w:right="-142"/>
        <w:jc w:val="both"/>
        <w:rPr>
          <w:rFonts w:asciiTheme="minorBidi" w:hAnsiTheme="minorBidi" w:cstheme="minorBidi"/>
          <w:b/>
          <w:bCs/>
          <w:sz w:val="18"/>
          <w:szCs w:val="18"/>
          <w:vertAlign w:val="superscript"/>
          <w:lang w:val="fr-FR"/>
        </w:rPr>
      </w:pPr>
      <w:r w:rsidRPr="003111F7">
        <w:rPr>
          <w:rFonts w:asciiTheme="minorBidi" w:hAnsiTheme="minorBidi" w:cstheme="minorBidi"/>
          <w:b/>
          <w:bCs/>
          <w:sz w:val="18"/>
          <w:szCs w:val="18"/>
          <w:lang w:val="fr-FR"/>
        </w:rPr>
        <w:t>Bakhta BOUHARKAT</w:t>
      </w:r>
      <w:r w:rsidRPr="003111F7">
        <w:rPr>
          <w:rFonts w:asciiTheme="minorBidi" w:hAnsiTheme="minorBidi" w:cstheme="minorBidi"/>
          <w:b/>
          <w:bCs/>
          <w:sz w:val="18"/>
          <w:szCs w:val="18"/>
          <w:vertAlign w:val="superscript"/>
          <w:lang w:val="fr-FR"/>
        </w:rPr>
        <w:t>1*</w:t>
      </w:r>
      <w:r w:rsidRPr="003111F7">
        <w:rPr>
          <w:rFonts w:asciiTheme="minorBidi" w:hAnsiTheme="minorBidi" w:cstheme="minorBidi"/>
          <w:b/>
          <w:bCs/>
          <w:sz w:val="18"/>
          <w:szCs w:val="18"/>
          <w:lang w:val="fr-FR"/>
        </w:rPr>
        <w:t>, Aicha TIR TOUIL</w:t>
      </w:r>
      <w:r w:rsidRPr="003111F7">
        <w:rPr>
          <w:rFonts w:asciiTheme="minorBidi" w:hAnsiTheme="minorBidi" w:cstheme="minorBidi"/>
          <w:b/>
          <w:bCs/>
          <w:sz w:val="18"/>
          <w:szCs w:val="18"/>
          <w:vertAlign w:val="superscript"/>
          <w:lang w:val="fr-FR"/>
        </w:rPr>
        <w:t>1</w:t>
      </w:r>
      <w:r w:rsidRPr="003111F7">
        <w:rPr>
          <w:rFonts w:asciiTheme="minorBidi" w:hAnsiTheme="minorBidi" w:cstheme="minorBidi"/>
          <w:b/>
          <w:bCs/>
          <w:sz w:val="18"/>
          <w:szCs w:val="18"/>
          <w:lang w:val="fr-FR"/>
        </w:rPr>
        <w:t xml:space="preserve">, Catherine MULLIÉ </w:t>
      </w:r>
      <w:r w:rsidRPr="003111F7">
        <w:rPr>
          <w:rFonts w:asciiTheme="minorBidi" w:hAnsiTheme="minorBidi" w:cstheme="minorBidi"/>
          <w:b/>
          <w:bCs/>
          <w:sz w:val="18"/>
          <w:szCs w:val="18"/>
          <w:vertAlign w:val="superscript"/>
          <w:lang w:val="fr-FR"/>
        </w:rPr>
        <w:t>2</w:t>
      </w:r>
      <w:r w:rsidRPr="003111F7">
        <w:rPr>
          <w:rFonts w:asciiTheme="minorBidi" w:hAnsiTheme="minorBidi" w:cstheme="minorBidi"/>
          <w:b/>
          <w:bCs/>
          <w:sz w:val="18"/>
          <w:szCs w:val="18"/>
          <w:lang w:val="fr-FR"/>
        </w:rPr>
        <w:t>, Nadia CHELLI</w:t>
      </w:r>
      <w:r w:rsidRPr="003111F7">
        <w:rPr>
          <w:rFonts w:asciiTheme="minorBidi" w:hAnsiTheme="minorBidi" w:cstheme="minorBidi"/>
          <w:b/>
          <w:bCs/>
          <w:sz w:val="18"/>
          <w:szCs w:val="18"/>
          <w:vertAlign w:val="superscript"/>
          <w:lang w:val="fr-FR"/>
        </w:rPr>
        <w:t>1</w:t>
      </w:r>
      <w:r w:rsidRPr="003111F7">
        <w:rPr>
          <w:rFonts w:asciiTheme="minorBidi" w:hAnsiTheme="minorBidi" w:cstheme="minorBidi"/>
          <w:b/>
          <w:bCs/>
          <w:sz w:val="18"/>
          <w:szCs w:val="18"/>
          <w:lang w:val="fr-FR"/>
        </w:rPr>
        <w:t>,</w:t>
      </w:r>
      <w:r w:rsidRPr="003111F7">
        <w:rPr>
          <w:rFonts w:asciiTheme="minorBidi" w:hAnsiTheme="minorBidi" w:cstheme="minorBidi"/>
          <w:b/>
          <w:bCs/>
          <w:sz w:val="18"/>
          <w:szCs w:val="18"/>
          <w:shd w:val="clear" w:color="auto" w:fill="FFFFFF"/>
          <w:lang w:val="fr-FR"/>
        </w:rPr>
        <w:t xml:space="preserve"> Boumediene MEDDAH</w:t>
      </w:r>
      <w:r w:rsidRPr="003111F7">
        <w:rPr>
          <w:rFonts w:asciiTheme="minorBidi" w:hAnsiTheme="minorBidi" w:cstheme="minorBidi"/>
          <w:b/>
          <w:bCs/>
          <w:sz w:val="18"/>
          <w:szCs w:val="18"/>
          <w:shd w:val="clear" w:color="auto" w:fill="FFFFFF"/>
          <w:vertAlign w:val="superscript"/>
          <w:lang w:val="fr-FR"/>
        </w:rPr>
        <w:t>1</w:t>
      </w:r>
      <w:r w:rsidRPr="003111F7">
        <w:rPr>
          <w:rFonts w:asciiTheme="minorBidi" w:hAnsiTheme="minorBidi" w:cstheme="minorBidi"/>
          <w:b/>
          <w:bCs/>
          <w:sz w:val="18"/>
          <w:szCs w:val="18"/>
          <w:shd w:val="clear" w:color="auto" w:fill="FFFFFF"/>
          <w:lang w:val="fr-FR"/>
        </w:rPr>
        <w:t xml:space="preserve">, </w:t>
      </w:r>
    </w:p>
    <w:p w:rsidR="003111F7" w:rsidRPr="003111F7" w:rsidRDefault="003111F7" w:rsidP="00E46275">
      <w:pPr>
        <w:ind w:left="142" w:right="-142"/>
        <w:jc w:val="both"/>
        <w:rPr>
          <w:rFonts w:asciiTheme="minorBidi" w:hAnsiTheme="minorBidi" w:cstheme="minorBidi"/>
          <w:sz w:val="18"/>
          <w:szCs w:val="18"/>
          <w:lang w:val="fr-FR"/>
        </w:rPr>
      </w:pPr>
      <w:r w:rsidRPr="003111F7">
        <w:rPr>
          <w:rFonts w:asciiTheme="minorBidi" w:hAnsiTheme="minorBidi" w:cstheme="minorBidi"/>
          <w:vertAlign w:val="superscript"/>
          <w:lang w:val="fr-FR"/>
        </w:rPr>
        <w:t xml:space="preserve">1 </w:t>
      </w:r>
      <w:r w:rsidRPr="003111F7">
        <w:rPr>
          <w:rFonts w:asciiTheme="minorBidi" w:hAnsiTheme="minorBidi" w:cstheme="minorBidi"/>
          <w:sz w:val="18"/>
          <w:szCs w:val="18"/>
          <w:lang w:val="fr-FR"/>
        </w:rPr>
        <w:t xml:space="preserve">Laboratoire de Bioconversion, Génie Microbiologique et Sécurité Sanitaire, Faculté des Sciences de la Nature et de la vie, Université Mustapha Stambouli, </w:t>
      </w:r>
      <w:r w:rsidRPr="003111F7">
        <w:rPr>
          <w:rFonts w:asciiTheme="minorBidi" w:hAnsiTheme="minorBidi" w:cstheme="minorBidi"/>
          <w:sz w:val="18"/>
          <w:szCs w:val="18"/>
          <w:shd w:val="clear" w:color="auto" w:fill="FFFFFF"/>
          <w:lang w:val="fr-FR"/>
        </w:rPr>
        <w:t xml:space="preserve">BP 305 Route de Mamounia, </w:t>
      </w:r>
      <w:r w:rsidRPr="003111F7">
        <w:rPr>
          <w:rFonts w:asciiTheme="minorBidi" w:hAnsiTheme="minorBidi" w:cstheme="minorBidi"/>
          <w:sz w:val="18"/>
          <w:szCs w:val="18"/>
          <w:lang w:val="fr-FR"/>
        </w:rPr>
        <w:t>29000 Mascara, Algérie.</w:t>
      </w:r>
    </w:p>
    <w:p w:rsidR="003111F7" w:rsidRPr="003111F7" w:rsidRDefault="003111F7" w:rsidP="00E46275">
      <w:pPr>
        <w:autoSpaceDE w:val="0"/>
        <w:autoSpaceDN w:val="0"/>
        <w:adjustRightInd w:val="0"/>
        <w:ind w:left="142" w:right="-142"/>
        <w:jc w:val="both"/>
        <w:rPr>
          <w:rFonts w:asciiTheme="minorBidi" w:hAnsiTheme="minorBidi" w:cstheme="minorBidi"/>
          <w:sz w:val="18"/>
          <w:szCs w:val="18"/>
          <w:lang w:val="fr-FR"/>
        </w:rPr>
      </w:pPr>
      <w:r w:rsidRPr="003111F7">
        <w:rPr>
          <w:rFonts w:asciiTheme="minorBidi" w:hAnsiTheme="minorBidi" w:cstheme="minorBidi"/>
          <w:sz w:val="18"/>
          <w:szCs w:val="18"/>
          <w:vertAlign w:val="superscript"/>
          <w:lang w:val="fr-FR"/>
        </w:rPr>
        <w:t xml:space="preserve">2 </w:t>
      </w:r>
      <w:r w:rsidRPr="003111F7">
        <w:rPr>
          <w:rFonts w:asciiTheme="minorBidi" w:hAnsiTheme="minorBidi" w:cstheme="minorBidi"/>
          <w:sz w:val="18"/>
          <w:szCs w:val="18"/>
          <w:lang w:val="fr-FR"/>
        </w:rPr>
        <w:t>Laboratoire AGIR (Agents Infectieux, Résistance et Chimiothérapie) EA 4294, Université de Picardie Jules Verne, UFR de Pharmacie, 1 rue des Louvels, 80037 Amiens Cedex 1, France.</w:t>
      </w:r>
    </w:p>
    <w:p w:rsidR="005973B9" w:rsidRPr="003111F7" w:rsidRDefault="005973B9" w:rsidP="00DC77BD">
      <w:pPr>
        <w:pStyle w:val="Corpsdetexte"/>
        <w:spacing w:before="73" w:line="198" w:lineRule="exact"/>
        <w:ind w:right="5987"/>
        <w:rPr>
          <w:rFonts w:ascii="Arial"/>
          <w:lang w:val="fr-FR"/>
        </w:rPr>
      </w:pPr>
    </w:p>
    <w:p w:rsidR="00AE3E37" w:rsidRPr="003111F7" w:rsidRDefault="00AE3E37">
      <w:pPr>
        <w:pStyle w:val="Corpsdetexte"/>
        <w:rPr>
          <w:rFonts w:ascii="Arial"/>
          <w:sz w:val="20"/>
          <w:lang w:val="fr-FR"/>
        </w:rPr>
      </w:pPr>
    </w:p>
    <w:p w:rsidR="00AE3E37" w:rsidRDefault="00AE3E37">
      <w:pPr>
        <w:rPr>
          <w:rFonts w:ascii="Arial"/>
          <w:sz w:val="21"/>
          <w:lang w:val="fr-FR"/>
        </w:rPr>
      </w:pPr>
    </w:p>
    <w:p w:rsidR="00A3490F" w:rsidRPr="003111F7" w:rsidRDefault="00A3490F">
      <w:pPr>
        <w:rPr>
          <w:rFonts w:ascii="Arial"/>
          <w:sz w:val="21"/>
          <w:lang w:val="fr-FR"/>
        </w:rPr>
        <w:sectPr w:rsidR="00A3490F" w:rsidRPr="003111F7" w:rsidSect="008E5477">
          <w:footerReference w:type="default" r:id="rId7"/>
          <w:type w:val="continuous"/>
          <w:pgSz w:w="11910" w:h="16840"/>
          <w:pgMar w:top="995" w:right="600" w:bottom="840" w:left="620" w:header="0" w:footer="0" w:gutter="0"/>
          <w:cols w:space="720"/>
          <w:docGrid w:linePitch="299"/>
        </w:sectPr>
      </w:pPr>
    </w:p>
    <w:p w:rsidR="00E46275" w:rsidRPr="00E46275" w:rsidRDefault="00A9710C" w:rsidP="00E46275">
      <w:pPr>
        <w:pStyle w:val="Titre3"/>
        <w:tabs>
          <w:tab w:val="left" w:pos="142"/>
        </w:tabs>
        <w:spacing w:line="276" w:lineRule="auto"/>
        <w:ind w:left="142"/>
        <w:jc w:val="both"/>
        <w:rPr>
          <w:color w:val="BF5A14"/>
        </w:rPr>
      </w:pPr>
      <w:r>
        <w:rPr>
          <w:color w:val="BF5A14"/>
        </w:rPr>
        <w:lastRenderedPageBreak/>
        <w:t>Abstract</w:t>
      </w:r>
      <w:r w:rsidR="00404E5B">
        <w:rPr>
          <w:color w:val="BF5A14"/>
        </w:rPr>
        <w:t xml:space="preserve"> (300 word limit)</w:t>
      </w:r>
    </w:p>
    <w:p w:rsidR="000227D6" w:rsidRDefault="000227D6" w:rsidP="00E46275">
      <w:pPr>
        <w:spacing w:line="276" w:lineRule="auto"/>
        <w:ind w:left="142" w:right="-142"/>
        <w:jc w:val="both"/>
        <w:rPr>
          <w:rFonts w:cstheme="majorBidi"/>
          <w:sz w:val="18"/>
          <w:szCs w:val="18"/>
        </w:rPr>
      </w:pPr>
    </w:p>
    <w:p w:rsidR="00617C8C" w:rsidRPr="00A3490F" w:rsidRDefault="00617C8C" w:rsidP="00A3490F">
      <w:pPr>
        <w:spacing w:line="360" w:lineRule="auto"/>
        <w:ind w:left="142" w:right="-142"/>
        <w:jc w:val="both"/>
        <w:rPr>
          <w:rFonts w:cstheme="majorBidi"/>
          <w:sz w:val="18"/>
          <w:szCs w:val="18"/>
        </w:rPr>
      </w:pPr>
      <w:r w:rsidRPr="00A3490F">
        <w:rPr>
          <w:rFonts w:cstheme="majorBidi"/>
          <w:sz w:val="18"/>
          <w:szCs w:val="18"/>
        </w:rPr>
        <w:t>In front of the polymorphic bacterial ecology and antibiotic resistance in diabetic patients with foot infections and good patient care, collaboration between clinicians and microbiologists is needed to improve assessment and management of patients with this pathology.</w:t>
      </w:r>
    </w:p>
    <w:p w:rsidR="00617C8C" w:rsidRPr="00A3490F" w:rsidRDefault="00617C8C" w:rsidP="00A3490F">
      <w:pPr>
        <w:spacing w:line="360" w:lineRule="auto"/>
        <w:ind w:left="142" w:right="-142"/>
        <w:jc w:val="both"/>
        <w:rPr>
          <w:rFonts w:cstheme="majorBidi"/>
          <w:sz w:val="18"/>
          <w:szCs w:val="18"/>
        </w:rPr>
      </w:pPr>
      <w:r w:rsidRPr="00A3490F">
        <w:rPr>
          <w:rFonts w:cstheme="majorBidi"/>
          <w:sz w:val="18"/>
          <w:szCs w:val="18"/>
        </w:rPr>
        <w:t xml:space="preserve">This study was designed to characterize the bacterial ecology of diabetic foot infection (DFIs) and to determine the different mechanisms of resistance involved. In this study bacterial strains and antibiotic resistance profiles were determined from diabetic foot infections patients (n = 117). The identification of resistance mechanisms, such as penicillinase and/or </w:t>
      </w:r>
      <w:r w:rsidRPr="00A3490F">
        <w:rPr>
          <w:rFonts w:cstheme="majorBidi"/>
          <w:sz w:val="18"/>
          <w:szCs w:val="18"/>
          <w:shd w:val="clear" w:color="auto" w:fill="FFFFFF"/>
        </w:rPr>
        <w:t xml:space="preserve">extended-spectrum </w:t>
      </w:r>
      <w:r w:rsidRPr="00A3490F">
        <w:rPr>
          <w:rFonts w:asciiTheme="majorBidi" w:hAnsiTheme="majorBidi" w:cstheme="majorBidi"/>
          <w:sz w:val="18"/>
          <w:szCs w:val="18"/>
          <w:shd w:val="clear" w:color="auto" w:fill="FFFFFF"/>
        </w:rPr>
        <w:t>β</w:t>
      </w:r>
      <w:r w:rsidRPr="00A3490F">
        <w:rPr>
          <w:rFonts w:cstheme="majorBidi"/>
          <w:sz w:val="18"/>
          <w:szCs w:val="18"/>
          <w:shd w:val="clear" w:color="auto" w:fill="FFFFFF"/>
        </w:rPr>
        <w:t>-lactamase production (ESBL)</w:t>
      </w:r>
      <w:r w:rsidRPr="00A3490F">
        <w:rPr>
          <w:rFonts w:cstheme="majorBidi"/>
          <w:sz w:val="18"/>
          <w:szCs w:val="18"/>
        </w:rPr>
        <w:t>, methicillin-resistant</w:t>
      </w:r>
      <w:r w:rsidRPr="00A3490F">
        <w:rPr>
          <w:rFonts w:cstheme="majorBidi"/>
          <w:i/>
          <w:iCs/>
          <w:sz w:val="18"/>
          <w:szCs w:val="18"/>
        </w:rPr>
        <w:t xml:space="preserve"> Staphylococcus aureus</w:t>
      </w:r>
      <w:r w:rsidRPr="00A3490F">
        <w:rPr>
          <w:rFonts w:cstheme="majorBidi"/>
          <w:sz w:val="18"/>
          <w:szCs w:val="18"/>
        </w:rPr>
        <w:t xml:space="preserve"> (MRSA) and efflux pump over-expression were performed. </w:t>
      </w:r>
    </w:p>
    <w:p w:rsidR="00617C8C" w:rsidRPr="00A3490F" w:rsidRDefault="00617C8C" w:rsidP="00A3490F">
      <w:pPr>
        <w:spacing w:line="360" w:lineRule="auto"/>
        <w:ind w:left="142" w:right="-142"/>
        <w:jc w:val="both"/>
        <w:rPr>
          <w:rFonts w:cstheme="majorBidi"/>
          <w:sz w:val="18"/>
          <w:szCs w:val="18"/>
          <w:shd w:val="clear" w:color="auto" w:fill="FFFFFF"/>
        </w:rPr>
      </w:pPr>
      <w:proofErr w:type="gramStart"/>
      <w:r w:rsidRPr="00A3490F">
        <w:rPr>
          <w:rFonts w:cstheme="majorBidi"/>
          <w:sz w:val="18"/>
          <w:szCs w:val="18"/>
        </w:rPr>
        <w:t xml:space="preserve">A high prevalence of Gram-negative bacteria (61%) with </w:t>
      </w:r>
      <w:r w:rsidRPr="00A3490F">
        <w:rPr>
          <w:rFonts w:cstheme="majorBidi"/>
          <w:i/>
          <w:iCs/>
          <w:sz w:val="18"/>
          <w:szCs w:val="18"/>
        </w:rPr>
        <w:t xml:space="preserve">Escherichia coli, </w:t>
      </w:r>
      <w:r w:rsidRPr="00A3490F">
        <w:rPr>
          <w:rFonts w:cstheme="majorBidi"/>
          <w:sz w:val="18"/>
          <w:szCs w:val="18"/>
        </w:rPr>
        <w:t xml:space="preserve">and other Enterobacteriaceae and </w:t>
      </w:r>
      <w:r w:rsidRPr="00A3490F">
        <w:rPr>
          <w:rFonts w:cstheme="majorBidi"/>
          <w:i/>
          <w:iCs/>
          <w:sz w:val="18"/>
          <w:szCs w:val="18"/>
        </w:rPr>
        <w:t xml:space="preserve">Pseudomonas aeruginosa </w:t>
      </w:r>
      <w:r w:rsidRPr="00A3490F">
        <w:rPr>
          <w:rFonts w:cstheme="majorBidi"/>
          <w:sz w:val="18"/>
          <w:szCs w:val="18"/>
        </w:rPr>
        <w:t>being the predominant isolates.</w:t>
      </w:r>
      <w:proofErr w:type="gramEnd"/>
      <w:r w:rsidRPr="00A3490F">
        <w:rPr>
          <w:rFonts w:cstheme="majorBidi"/>
          <w:sz w:val="18"/>
          <w:szCs w:val="18"/>
        </w:rPr>
        <w:t xml:space="preserve"> Gram positive bacteria mainly represented by </w:t>
      </w:r>
      <w:r w:rsidRPr="00A3490F">
        <w:rPr>
          <w:rFonts w:cstheme="majorBidi"/>
          <w:i/>
          <w:iCs/>
          <w:sz w:val="18"/>
          <w:szCs w:val="18"/>
        </w:rPr>
        <w:t>Staphylococcus aureus</w:t>
      </w:r>
      <w:r w:rsidRPr="00A3490F">
        <w:rPr>
          <w:rFonts w:cstheme="majorBidi"/>
          <w:sz w:val="18"/>
          <w:szCs w:val="18"/>
        </w:rPr>
        <w:t xml:space="preserve"> </w:t>
      </w:r>
      <w:r w:rsidRPr="00A3490F">
        <w:rPr>
          <w:rFonts w:cstheme="majorBidi"/>
          <w:iCs/>
          <w:sz w:val="18"/>
          <w:szCs w:val="18"/>
        </w:rPr>
        <w:t>accounted for 39% of the isolates</w:t>
      </w:r>
      <w:r w:rsidRPr="00A3490F">
        <w:rPr>
          <w:rFonts w:cstheme="majorBidi"/>
          <w:sz w:val="18"/>
          <w:szCs w:val="18"/>
        </w:rPr>
        <w:t xml:space="preserve">.  93.5% of the </w:t>
      </w:r>
      <w:r w:rsidRPr="00A3490F">
        <w:rPr>
          <w:rFonts w:cstheme="majorBidi"/>
          <w:i/>
          <w:iCs/>
          <w:sz w:val="18"/>
          <w:szCs w:val="18"/>
        </w:rPr>
        <w:t>Enterobacteriaceae</w:t>
      </w:r>
      <w:r w:rsidRPr="00A3490F">
        <w:rPr>
          <w:rFonts w:cstheme="majorBidi"/>
          <w:sz w:val="18"/>
          <w:szCs w:val="18"/>
        </w:rPr>
        <w:t xml:space="preserve"> were resistant to, at least, one molecule in the </w:t>
      </w:r>
      <w:r w:rsidRPr="00A3490F">
        <w:rPr>
          <w:rFonts w:asciiTheme="majorBidi" w:hAnsiTheme="majorBidi" w:cstheme="majorBidi"/>
          <w:sz w:val="18"/>
          <w:szCs w:val="18"/>
        </w:rPr>
        <w:t>β</w:t>
      </w:r>
      <w:r w:rsidRPr="00A3490F">
        <w:rPr>
          <w:rFonts w:cstheme="majorBidi"/>
          <w:sz w:val="18"/>
          <w:szCs w:val="18"/>
        </w:rPr>
        <w:t>-</w:t>
      </w:r>
      <w:proofErr w:type="spellStart"/>
      <w:r w:rsidRPr="00A3490F">
        <w:rPr>
          <w:rFonts w:cstheme="majorBidi"/>
          <w:sz w:val="18"/>
          <w:szCs w:val="18"/>
        </w:rPr>
        <w:t>lactam</w:t>
      </w:r>
      <w:proofErr w:type="spellEnd"/>
      <w:r w:rsidRPr="00A3490F">
        <w:rPr>
          <w:rFonts w:cstheme="majorBidi"/>
          <w:sz w:val="18"/>
          <w:szCs w:val="18"/>
        </w:rPr>
        <w:t xml:space="preserve"> family, while the majority of the </w:t>
      </w:r>
      <w:r w:rsidRPr="00A3490F">
        <w:rPr>
          <w:rFonts w:cstheme="majorBidi"/>
          <w:i/>
          <w:iCs/>
          <w:sz w:val="18"/>
          <w:szCs w:val="18"/>
        </w:rPr>
        <w:t xml:space="preserve">Staphylococci </w:t>
      </w:r>
      <w:r w:rsidRPr="00A3490F">
        <w:rPr>
          <w:rFonts w:cstheme="majorBidi"/>
          <w:sz w:val="18"/>
          <w:szCs w:val="18"/>
        </w:rPr>
        <w:t xml:space="preserve">were resistant to penicillin G and tetracycline (93.3% and 71.7%). The majority of non-fermenting Gram negative bacteria were also resistant to fluoroquinolones. </w:t>
      </w:r>
      <w:proofErr w:type="gramStart"/>
      <w:r w:rsidRPr="00A3490F">
        <w:rPr>
          <w:rFonts w:asciiTheme="majorBidi" w:hAnsiTheme="majorBidi" w:cstheme="majorBidi"/>
          <w:sz w:val="18"/>
          <w:szCs w:val="18"/>
        </w:rPr>
        <w:t>β</w:t>
      </w:r>
      <w:r w:rsidRPr="00A3490F">
        <w:rPr>
          <w:rFonts w:cstheme="majorBidi"/>
          <w:sz w:val="18"/>
          <w:szCs w:val="18"/>
        </w:rPr>
        <w:t>-lactamase</w:t>
      </w:r>
      <w:proofErr w:type="gramEnd"/>
      <w:r w:rsidRPr="00A3490F">
        <w:rPr>
          <w:rFonts w:cstheme="majorBidi"/>
          <w:sz w:val="18"/>
          <w:szCs w:val="18"/>
        </w:rPr>
        <w:t xml:space="preserve"> detection tests revealed the presence of </w:t>
      </w:r>
      <w:r w:rsidRPr="00A3490F">
        <w:rPr>
          <w:rFonts w:cstheme="majorBidi"/>
          <w:sz w:val="18"/>
          <w:szCs w:val="18"/>
          <w:shd w:val="clear" w:color="auto" w:fill="FFFFFF"/>
        </w:rPr>
        <w:t xml:space="preserve">extended-spectrum </w:t>
      </w:r>
      <w:r w:rsidRPr="00A3490F">
        <w:rPr>
          <w:rFonts w:asciiTheme="majorBidi" w:hAnsiTheme="majorBidi" w:cstheme="majorBidi"/>
          <w:sz w:val="18"/>
          <w:szCs w:val="18"/>
          <w:shd w:val="clear" w:color="auto" w:fill="FFFFFF"/>
        </w:rPr>
        <w:t>β</w:t>
      </w:r>
      <w:r w:rsidRPr="00A3490F">
        <w:rPr>
          <w:rFonts w:cstheme="majorBidi"/>
          <w:sz w:val="18"/>
          <w:szCs w:val="18"/>
          <w:shd w:val="clear" w:color="auto" w:fill="FFFFFF"/>
        </w:rPr>
        <w:t>-lactamase</w:t>
      </w:r>
      <w:r w:rsidRPr="00A3490F">
        <w:rPr>
          <w:rFonts w:cstheme="majorBidi"/>
          <w:sz w:val="18"/>
          <w:szCs w:val="18"/>
        </w:rPr>
        <w:t xml:space="preserve"> in 43.5% of the </w:t>
      </w:r>
      <w:r w:rsidRPr="00A3490F">
        <w:rPr>
          <w:rFonts w:cstheme="majorBidi"/>
          <w:i/>
          <w:sz w:val="18"/>
          <w:szCs w:val="18"/>
        </w:rPr>
        <w:t>Enterobacteriaceae,</w:t>
      </w:r>
      <w:r w:rsidRPr="00A3490F">
        <w:rPr>
          <w:rFonts w:cstheme="majorBidi"/>
          <w:sz w:val="18"/>
          <w:szCs w:val="18"/>
        </w:rPr>
        <w:t xml:space="preserve"> while methicillin-resistant </w:t>
      </w:r>
      <w:r w:rsidRPr="00A3490F">
        <w:rPr>
          <w:rFonts w:cstheme="majorBidi"/>
          <w:i/>
          <w:iCs/>
          <w:sz w:val="18"/>
          <w:szCs w:val="18"/>
        </w:rPr>
        <w:t>Staphylococcus aureus</w:t>
      </w:r>
      <w:r w:rsidRPr="00A3490F">
        <w:rPr>
          <w:rFonts w:cstheme="majorBidi"/>
          <w:sz w:val="18"/>
          <w:szCs w:val="18"/>
        </w:rPr>
        <w:t xml:space="preserve"> represented 18.2% of the isolates. Additionally, 50.9% of non-fermenting Gram negative bacteria were overproducing efflux pumps.</w:t>
      </w:r>
      <w:r w:rsidRPr="00A3490F">
        <w:rPr>
          <w:rFonts w:cstheme="majorBidi"/>
          <w:sz w:val="18"/>
          <w:szCs w:val="18"/>
          <w:shd w:val="clear" w:color="auto" w:fill="FFFFFF"/>
        </w:rPr>
        <w:t xml:space="preserve"> </w:t>
      </w:r>
    </w:p>
    <w:p w:rsidR="00617C8C" w:rsidRPr="00A3490F" w:rsidRDefault="00617C8C" w:rsidP="00A3490F">
      <w:pPr>
        <w:spacing w:line="360" w:lineRule="auto"/>
        <w:ind w:left="142" w:right="-142"/>
        <w:jc w:val="both"/>
        <w:rPr>
          <w:rFonts w:cstheme="majorBidi"/>
          <w:sz w:val="18"/>
          <w:szCs w:val="18"/>
        </w:rPr>
      </w:pPr>
      <w:r w:rsidRPr="00A3490F">
        <w:rPr>
          <w:rFonts w:cstheme="majorBidi"/>
          <w:sz w:val="18"/>
          <w:szCs w:val="18"/>
        </w:rPr>
        <w:t xml:space="preserve">All </w:t>
      </w:r>
      <w:r w:rsidRPr="00A3490F">
        <w:rPr>
          <w:rFonts w:cstheme="majorBidi"/>
          <w:i/>
          <w:iCs/>
          <w:sz w:val="18"/>
          <w:szCs w:val="18"/>
          <w:shd w:val="clear" w:color="auto" w:fill="FFFFFF"/>
        </w:rPr>
        <w:t>Acinetobacter</w:t>
      </w:r>
      <w:r w:rsidRPr="00A3490F">
        <w:rPr>
          <w:rFonts w:cstheme="majorBidi"/>
          <w:i/>
          <w:iCs/>
          <w:sz w:val="18"/>
          <w:szCs w:val="18"/>
        </w:rPr>
        <w:t xml:space="preserve"> Baumannii</w:t>
      </w:r>
      <w:r w:rsidRPr="00A3490F">
        <w:rPr>
          <w:rFonts w:cstheme="majorBidi"/>
          <w:sz w:val="18"/>
          <w:szCs w:val="18"/>
        </w:rPr>
        <w:t xml:space="preserve"> were</w:t>
      </w:r>
      <w:r w:rsidRPr="00A3490F">
        <w:rPr>
          <w:rFonts w:cstheme="majorBidi"/>
          <w:sz w:val="18"/>
          <w:szCs w:val="18"/>
          <w:shd w:val="clear" w:color="auto" w:fill="FFFFFF"/>
        </w:rPr>
        <w:t xml:space="preserve"> Multidrug-Resistant (MDR)</w:t>
      </w:r>
      <w:r w:rsidRPr="00A3490F">
        <w:rPr>
          <w:rFonts w:cstheme="majorBidi"/>
          <w:sz w:val="18"/>
          <w:szCs w:val="18"/>
        </w:rPr>
        <w:t xml:space="preserve">, as the majority of </w:t>
      </w:r>
      <w:r w:rsidRPr="00A3490F">
        <w:rPr>
          <w:rFonts w:cstheme="majorBidi"/>
          <w:i/>
          <w:iCs/>
          <w:sz w:val="18"/>
          <w:szCs w:val="18"/>
          <w:shd w:val="clear" w:color="auto" w:fill="FFFFFF"/>
        </w:rPr>
        <w:t xml:space="preserve">Staphylococci, </w:t>
      </w:r>
      <w:r w:rsidRPr="00A3490F">
        <w:rPr>
          <w:rFonts w:cstheme="majorBidi"/>
          <w:sz w:val="18"/>
          <w:szCs w:val="18"/>
          <w:shd w:val="clear" w:color="auto" w:fill="FFFFFF"/>
        </w:rPr>
        <w:t>and</w:t>
      </w:r>
      <w:r w:rsidRPr="00A3490F">
        <w:rPr>
          <w:rFonts w:cstheme="majorBidi"/>
          <w:i/>
          <w:iCs/>
          <w:sz w:val="18"/>
          <w:szCs w:val="18"/>
          <w:shd w:val="clear" w:color="auto" w:fill="FFFFFF"/>
        </w:rPr>
        <w:t xml:space="preserve"> Enterobacteriaceae</w:t>
      </w:r>
      <w:r w:rsidRPr="00A3490F">
        <w:rPr>
          <w:rFonts w:cstheme="majorBidi"/>
          <w:sz w:val="18"/>
          <w:szCs w:val="18"/>
        </w:rPr>
        <w:t>. These results should be taken into account by the clinician in the prescription of probabilistic antibiotic therapy in this context.</w:t>
      </w:r>
    </w:p>
    <w:p w:rsidR="00AE3E37" w:rsidRDefault="00A9710C">
      <w:pPr>
        <w:pStyle w:val="Titre3"/>
      </w:pPr>
      <w:r>
        <w:rPr>
          <w:b w:val="0"/>
        </w:rPr>
        <w:br w:type="column"/>
      </w:r>
      <w:r>
        <w:rPr>
          <w:color w:val="BF5A14"/>
        </w:rPr>
        <w:lastRenderedPageBreak/>
        <w:t>Image</w:t>
      </w:r>
    </w:p>
    <w:p w:rsidR="00AE3E37" w:rsidRDefault="000227D6">
      <w:pPr>
        <w:pStyle w:val="Corpsdetexte"/>
        <w:spacing w:before="2"/>
        <w:rPr>
          <w:rFonts w:ascii="Arial"/>
          <w:b/>
          <w:sz w:val="16"/>
        </w:rPr>
      </w:pPr>
      <w:r>
        <w:rPr>
          <w:rFonts w:ascii="Arial"/>
          <w:b/>
          <w:noProof/>
          <w:sz w:val="16"/>
          <w:lang w:val="fr-FR" w:eastAsia="fr-FR"/>
        </w:rPr>
        <w:drawing>
          <wp:anchor distT="0" distB="0" distL="114300" distR="114300" simplePos="0" relativeHeight="251659264" behindDoc="0" locked="0" layoutInCell="1" allowOverlap="1">
            <wp:simplePos x="0" y="0"/>
            <wp:positionH relativeFrom="column">
              <wp:posOffset>91463</wp:posOffset>
            </wp:positionH>
            <wp:positionV relativeFrom="paragraph">
              <wp:posOffset>81915</wp:posOffset>
            </wp:positionV>
            <wp:extent cx="3500527" cy="2286000"/>
            <wp:effectExtent l="19050" t="0" r="23723" b="0"/>
            <wp:wrapNone/>
            <wp:docPr id="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6939D8">
      <w:pPr>
        <w:pStyle w:val="Corpsdetexte"/>
        <w:spacing w:before="2"/>
        <w:rPr>
          <w:rFonts w:ascii="Arial"/>
          <w:b/>
          <w:sz w:val="16"/>
        </w:rPr>
      </w:pPr>
    </w:p>
    <w:p w:rsidR="006939D8" w:rsidRDefault="000227D6">
      <w:pPr>
        <w:pStyle w:val="Corpsdetexte"/>
        <w:spacing w:before="2"/>
        <w:rPr>
          <w:rFonts w:ascii="Arial"/>
          <w:b/>
          <w:sz w:val="16"/>
        </w:rPr>
      </w:pPr>
      <w:r>
        <w:rPr>
          <w:rFonts w:ascii="Arial"/>
          <w:b/>
          <w:noProof/>
          <w:color w:val="BF5A14"/>
          <w:sz w:val="20"/>
          <w:lang w:val="fr-FR" w:eastAsia="fr-FR"/>
        </w:rPr>
        <w:pict>
          <v:rect id="Rectangle 20" o:spid="_x0000_s1034" style="position:absolute;margin-left:10.45pt;margin-top:7.25pt;width:274.5pt;height:29.9pt;z-index:251660288;visibility:visible" filled="f" fillcolor="black [3213]" strokecolor="black [3213]">
            <v:textbox style="mso-next-textbox:#Rectangle 20">
              <w:txbxContent>
                <w:p w:rsidR="000227D6" w:rsidRPr="00AB24FF" w:rsidRDefault="000227D6" w:rsidP="000227D6">
                  <w:pPr>
                    <w:ind w:right="-75"/>
                    <w:jc w:val="both"/>
                    <w:rPr>
                      <w:rFonts w:asciiTheme="majorBidi" w:hAnsiTheme="majorBidi" w:cstheme="majorBidi"/>
                      <w:sz w:val="20"/>
                      <w:szCs w:val="20"/>
                    </w:rPr>
                  </w:pPr>
                  <w:r w:rsidRPr="00AB24FF">
                    <w:rPr>
                      <w:rFonts w:asciiTheme="majorBidi" w:hAnsiTheme="majorBidi" w:cstheme="majorBidi"/>
                      <w:b/>
                      <w:bCs/>
                      <w:sz w:val="20"/>
                      <w:szCs w:val="20"/>
                    </w:rPr>
                    <w:t xml:space="preserve">Figure </w:t>
                  </w:r>
                  <w:r w:rsidRPr="00580D6B">
                    <w:rPr>
                      <w:rFonts w:asciiTheme="majorBidi" w:hAnsiTheme="majorBidi" w:cstheme="majorBidi"/>
                      <w:b/>
                      <w:bCs/>
                      <w:sz w:val="20"/>
                      <w:szCs w:val="20"/>
                    </w:rPr>
                    <w:t>2</w:t>
                  </w:r>
                  <w:r w:rsidRPr="00AB24FF">
                    <w:rPr>
                      <w:rFonts w:asciiTheme="majorBidi" w:hAnsiTheme="majorBidi" w:cstheme="majorBidi"/>
                      <w:b/>
                      <w:bCs/>
                      <w:sz w:val="20"/>
                      <w:szCs w:val="20"/>
                    </w:rPr>
                    <w:t xml:space="preserve">: </w:t>
                  </w:r>
                  <w:r w:rsidRPr="00AB24FF">
                    <w:rPr>
                      <w:rFonts w:asciiTheme="majorBidi" w:hAnsiTheme="majorBidi" w:cstheme="majorBidi"/>
                      <w:sz w:val="20"/>
                      <w:szCs w:val="20"/>
                    </w:rPr>
                    <w:t>Frequency of MDR profile of the strains isolated from DFIs</w:t>
                  </w:r>
                </w:p>
              </w:txbxContent>
            </v:textbox>
          </v:rect>
        </w:pict>
      </w:r>
    </w:p>
    <w:p w:rsidR="000227D6" w:rsidRDefault="005973B9" w:rsidP="00225D6F">
      <w:pPr>
        <w:spacing w:after="240" w:line="204" w:lineRule="exact"/>
        <w:ind w:left="142"/>
        <w:rPr>
          <w:rFonts w:ascii="Arial"/>
          <w:b/>
          <w:color w:val="BF5A14"/>
          <w:sz w:val="20"/>
        </w:rPr>
      </w:pPr>
      <w:r>
        <w:rPr>
          <w:rFonts w:ascii="Arial"/>
          <w:b/>
          <w:color w:val="BF5A14"/>
          <w:sz w:val="20"/>
        </w:rPr>
        <w:br/>
      </w:r>
    </w:p>
    <w:p w:rsidR="00225D6F" w:rsidRDefault="00225D6F" w:rsidP="00225D6F">
      <w:pPr>
        <w:spacing w:line="204" w:lineRule="exact"/>
        <w:ind w:left="142"/>
        <w:rPr>
          <w:rFonts w:ascii="Arial"/>
          <w:b/>
          <w:color w:val="BF5A14"/>
          <w:sz w:val="20"/>
        </w:rPr>
      </w:pPr>
    </w:p>
    <w:p w:rsidR="005973B9" w:rsidRDefault="005973B9" w:rsidP="00462B06">
      <w:pPr>
        <w:spacing w:line="204" w:lineRule="exact"/>
        <w:ind w:left="142"/>
        <w:rPr>
          <w:rFonts w:ascii="Arial"/>
          <w:b/>
          <w:sz w:val="20"/>
        </w:rPr>
      </w:pPr>
      <w:r>
        <w:rPr>
          <w:rFonts w:ascii="Arial"/>
          <w:b/>
          <w:color w:val="BF5A14"/>
          <w:sz w:val="20"/>
        </w:rPr>
        <w:t>Recent Publications (minimum 5)</w:t>
      </w:r>
    </w:p>
    <w:p w:rsidR="00C73697" w:rsidRPr="00C73697" w:rsidRDefault="00C73697" w:rsidP="00462B06">
      <w:pPr>
        <w:pStyle w:val="Paragraphedeliste"/>
        <w:widowControl/>
        <w:numPr>
          <w:ilvl w:val="0"/>
          <w:numId w:val="4"/>
        </w:numPr>
        <w:autoSpaceDE w:val="0"/>
        <w:autoSpaceDN w:val="0"/>
        <w:adjustRightInd w:val="0"/>
        <w:spacing w:before="0" w:line="276" w:lineRule="auto"/>
        <w:ind w:left="142" w:right="-142"/>
        <w:contextualSpacing/>
        <w:rPr>
          <w:rFonts w:asciiTheme="minorHAnsi" w:hAnsiTheme="minorHAnsi" w:cs="Times New Roman"/>
          <w:sz w:val="18"/>
          <w:szCs w:val="18"/>
        </w:rPr>
      </w:pPr>
      <w:r w:rsidRPr="00C73697">
        <w:rPr>
          <w:rFonts w:asciiTheme="minorHAnsi" w:hAnsiTheme="minorHAnsi" w:cs="Times New Roman"/>
          <w:sz w:val="18"/>
          <w:szCs w:val="18"/>
        </w:rPr>
        <w:t xml:space="preserve">1. Lipsky BA, J. Aragon-Sanchez, M. </w:t>
      </w:r>
      <w:proofErr w:type="spellStart"/>
      <w:r w:rsidRPr="00C73697">
        <w:rPr>
          <w:rFonts w:asciiTheme="minorHAnsi" w:hAnsiTheme="minorHAnsi" w:cs="Times New Roman"/>
          <w:sz w:val="18"/>
          <w:szCs w:val="18"/>
        </w:rPr>
        <w:t>Diggle</w:t>
      </w:r>
      <w:proofErr w:type="spellEnd"/>
      <w:r w:rsidRPr="00C73697">
        <w:rPr>
          <w:rFonts w:asciiTheme="minorHAnsi" w:hAnsiTheme="minorHAnsi" w:cs="Times New Roman"/>
          <w:sz w:val="18"/>
          <w:szCs w:val="18"/>
        </w:rPr>
        <w:t xml:space="preserve"> et al. “IWGDF guidance on the diagnosis and management of foot infections in persons with diabetes”. Diabetes/Metabolism Research and Reviews. 2016</w:t>
      </w:r>
      <w:proofErr w:type="gramStart"/>
      <w:r w:rsidRPr="00C73697">
        <w:rPr>
          <w:rFonts w:asciiTheme="minorHAnsi" w:hAnsiTheme="minorHAnsi" w:cs="Times New Roman"/>
          <w:sz w:val="18"/>
          <w:szCs w:val="18"/>
        </w:rPr>
        <w:t>;32:45</w:t>
      </w:r>
      <w:proofErr w:type="gramEnd"/>
      <w:r w:rsidRPr="00C73697">
        <w:rPr>
          <w:rFonts w:asciiTheme="minorHAnsi" w:hAnsiTheme="minorHAnsi" w:cs="Times New Roman"/>
          <w:sz w:val="18"/>
          <w:szCs w:val="18"/>
        </w:rPr>
        <w:t>–74.</w:t>
      </w:r>
    </w:p>
    <w:p w:rsidR="00C73697" w:rsidRPr="00C73697" w:rsidRDefault="00C73697" w:rsidP="00462B06">
      <w:pPr>
        <w:pStyle w:val="Paragraphedeliste"/>
        <w:widowControl/>
        <w:numPr>
          <w:ilvl w:val="0"/>
          <w:numId w:val="4"/>
        </w:numPr>
        <w:spacing w:before="0" w:line="276" w:lineRule="auto"/>
        <w:ind w:left="142" w:right="-142"/>
        <w:contextualSpacing/>
        <w:rPr>
          <w:rFonts w:asciiTheme="minorHAnsi" w:hAnsiTheme="minorHAnsi" w:cstheme="majorBidi"/>
          <w:sz w:val="18"/>
          <w:szCs w:val="18"/>
        </w:rPr>
      </w:pPr>
      <w:r>
        <w:rPr>
          <w:rFonts w:asciiTheme="minorHAnsi" w:hAnsiTheme="minorHAnsi" w:cs="Times New Roman"/>
          <w:sz w:val="18"/>
          <w:szCs w:val="18"/>
        </w:rPr>
        <w:t xml:space="preserve">2. </w:t>
      </w:r>
      <w:r w:rsidRPr="00C73697">
        <w:rPr>
          <w:rFonts w:asciiTheme="minorHAnsi" w:hAnsiTheme="minorHAnsi" w:cs="Times New Roman"/>
          <w:sz w:val="18"/>
          <w:szCs w:val="18"/>
        </w:rPr>
        <w:t xml:space="preserve">Mullié C, Bouharkat B, </w:t>
      </w:r>
      <w:proofErr w:type="spellStart"/>
      <w:r w:rsidRPr="00C73697">
        <w:rPr>
          <w:rFonts w:asciiTheme="minorHAnsi" w:hAnsiTheme="minorHAnsi" w:cs="Times New Roman"/>
          <w:sz w:val="18"/>
          <w:szCs w:val="18"/>
        </w:rPr>
        <w:t>Guiheneuf</w:t>
      </w:r>
      <w:proofErr w:type="spellEnd"/>
      <w:r w:rsidRPr="00C73697">
        <w:rPr>
          <w:rFonts w:asciiTheme="minorHAnsi" w:hAnsiTheme="minorHAnsi" w:cs="Times New Roman"/>
          <w:sz w:val="18"/>
          <w:szCs w:val="18"/>
        </w:rPr>
        <w:t xml:space="preserve"> R, Serra C, </w:t>
      </w:r>
      <w:proofErr w:type="spellStart"/>
      <w:r w:rsidRPr="00C73697">
        <w:rPr>
          <w:rFonts w:asciiTheme="minorHAnsi" w:hAnsiTheme="minorHAnsi" w:cs="Times New Roman"/>
          <w:sz w:val="18"/>
          <w:szCs w:val="18"/>
        </w:rPr>
        <w:t>Tir</w:t>
      </w:r>
      <w:proofErr w:type="spellEnd"/>
      <w:r w:rsidRPr="00C73697">
        <w:rPr>
          <w:rFonts w:asciiTheme="minorHAnsi" w:hAnsiTheme="minorHAnsi" w:cs="Times New Roman"/>
          <w:sz w:val="18"/>
          <w:szCs w:val="18"/>
        </w:rPr>
        <w:t xml:space="preserve"> </w:t>
      </w:r>
      <w:proofErr w:type="spellStart"/>
      <w:r w:rsidRPr="00C73697">
        <w:rPr>
          <w:rFonts w:asciiTheme="minorHAnsi" w:hAnsiTheme="minorHAnsi" w:cs="Times New Roman"/>
          <w:sz w:val="18"/>
          <w:szCs w:val="18"/>
        </w:rPr>
        <w:t>Touil-Meddah</w:t>
      </w:r>
      <w:proofErr w:type="spellEnd"/>
      <w:r w:rsidRPr="00C73697">
        <w:rPr>
          <w:rFonts w:asciiTheme="minorHAnsi" w:hAnsiTheme="minorHAnsi" w:cs="Times New Roman"/>
          <w:sz w:val="18"/>
          <w:szCs w:val="18"/>
        </w:rPr>
        <w:t xml:space="preserve"> A and Sonnet P. Efflux pumps in </w:t>
      </w:r>
      <w:r w:rsidRPr="00C73697">
        <w:rPr>
          <w:rFonts w:asciiTheme="minorHAnsi" w:hAnsiTheme="minorHAnsi" w:cs="Times New Roman"/>
          <w:i/>
          <w:iCs/>
          <w:sz w:val="18"/>
          <w:szCs w:val="18"/>
        </w:rPr>
        <w:t>Acinetobacter baumannii</w:t>
      </w:r>
      <w:r w:rsidRPr="00C73697">
        <w:rPr>
          <w:rFonts w:asciiTheme="minorHAnsi" w:hAnsiTheme="minorHAnsi" w:cs="Times New Roman"/>
          <w:sz w:val="18"/>
          <w:szCs w:val="18"/>
        </w:rPr>
        <w:t xml:space="preserve">: role in antibiotic resistance and interest of efflux pump inhibitors as additional therapeutic weapons. </w:t>
      </w:r>
      <w:r w:rsidRPr="00C73697">
        <w:rPr>
          <w:rFonts w:asciiTheme="minorHAnsi" w:hAnsiTheme="minorHAnsi" w:cs="Times New Roman"/>
          <w:sz w:val="18"/>
          <w:szCs w:val="18"/>
          <w:shd w:val="clear" w:color="auto" w:fill="FFFFFF"/>
        </w:rPr>
        <w:t> Microbiology Book Series. #6: “Antimicrobial research. 2017</w:t>
      </w:r>
      <w:proofErr w:type="gramStart"/>
      <w:r w:rsidRPr="00C73697">
        <w:rPr>
          <w:rFonts w:asciiTheme="minorHAnsi" w:hAnsiTheme="minorHAnsi" w:cs="Times New Roman"/>
          <w:sz w:val="18"/>
          <w:szCs w:val="18"/>
          <w:shd w:val="clear" w:color="auto" w:fill="FFFFFF"/>
        </w:rPr>
        <w:t>;572</w:t>
      </w:r>
      <w:proofErr w:type="gramEnd"/>
      <w:r w:rsidRPr="00C73697">
        <w:rPr>
          <w:rFonts w:asciiTheme="minorHAnsi" w:hAnsiTheme="minorHAnsi" w:cs="Times New Roman"/>
          <w:sz w:val="18"/>
          <w:szCs w:val="18"/>
        </w:rPr>
        <w:t>–</w:t>
      </w:r>
      <w:r w:rsidRPr="00C73697">
        <w:rPr>
          <w:rFonts w:asciiTheme="minorHAnsi" w:hAnsiTheme="minorHAnsi" w:cs="Times New Roman"/>
          <w:sz w:val="18"/>
          <w:szCs w:val="18"/>
          <w:shd w:val="clear" w:color="auto" w:fill="FFFFFF"/>
        </w:rPr>
        <w:t>583.</w:t>
      </w:r>
    </w:p>
    <w:p w:rsidR="00C73697" w:rsidRPr="00C73697" w:rsidRDefault="00C73697" w:rsidP="00462B06">
      <w:pPr>
        <w:pStyle w:val="Paragraphedeliste"/>
        <w:widowControl/>
        <w:numPr>
          <w:ilvl w:val="0"/>
          <w:numId w:val="4"/>
        </w:numPr>
        <w:spacing w:before="0" w:line="276" w:lineRule="auto"/>
        <w:ind w:left="142" w:right="-142"/>
        <w:contextualSpacing/>
        <w:rPr>
          <w:rFonts w:asciiTheme="minorHAnsi" w:hAnsiTheme="minorHAnsi" w:cs="Times New Roman"/>
          <w:sz w:val="14"/>
          <w:szCs w:val="14"/>
        </w:rPr>
      </w:pPr>
      <w:r w:rsidRPr="00C73697">
        <w:rPr>
          <w:rFonts w:asciiTheme="minorHAnsi" w:hAnsiTheme="minorHAnsi" w:cs="Times New Roman"/>
          <w:sz w:val="18"/>
          <w:szCs w:val="18"/>
          <w:shd w:val="clear" w:color="auto" w:fill="FFFFFF"/>
          <w:lang w:val="fr-FR"/>
        </w:rPr>
        <w:t xml:space="preserve">3. </w:t>
      </w:r>
      <w:proofErr w:type="spellStart"/>
      <w:r w:rsidRPr="00C73697">
        <w:rPr>
          <w:rFonts w:asciiTheme="minorHAnsi" w:hAnsiTheme="minorHAnsi" w:cs="Times New Roman"/>
          <w:sz w:val="18"/>
          <w:szCs w:val="18"/>
          <w:shd w:val="clear" w:color="auto" w:fill="FFFFFF"/>
          <w:lang w:val="fr-FR"/>
        </w:rPr>
        <w:t>Razavi</w:t>
      </w:r>
      <w:proofErr w:type="spellEnd"/>
      <w:r w:rsidRPr="00C73697">
        <w:rPr>
          <w:rFonts w:asciiTheme="minorHAnsi" w:hAnsiTheme="minorHAnsi" w:cs="Times New Roman"/>
          <w:sz w:val="18"/>
          <w:szCs w:val="18"/>
          <w:shd w:val="clear" w:color="auto" w:fill="FFFFFF"/>
          <w:lang w:val="fr-FR"/>
        </w:rPr>
        <w:t xml:space="preserve"> </w:t>
      </w:r>
      <w:proofErr w:type="spellStart"/>
      <w:r w:rsidRPr="00C73697">
        <w:rPr>
          <w:rFonts w:asciiTheme="minorHAnsi" w:hAnsiTheme="minorHAnsi" w:cs="Times New Roman"/>
          <w:sz w:val="18"/>
          <w:szCs w:val="18"/>
          <w:shd w:val="clear" w:color="auto" w:fill="FFFFFF"/>
          <w:lang w:val="fr-FR"/>
        </w:rPr>
        <w:t>Nikoo</w:t>
      </w:r>
      <w:proofErr w:type="spellEnd"/>
      <w:r w:rsidRPr="00C73697">
        <w:rPr>
          <w:rFonts w:asciiTheme="minorHAnsi" w:hAnsiTheme="minorHAnsi" w:cs="Times New Roman"/>
          <w:sz w:val="18"/>
          <w:szCs w:val="18"/>
          <w:shd w:val="clear" w:color="auto" w:fill="FFFFFF"/>
          <w:lang w:val="fr-FR"/>
        </w:rPr>
        <w:t xml:space="preserve"> H, et al. </w:t>
      </w:r>
      <w:r w:rsidRPr="00C73697">
        <w:rPr>
          <w:rFonts w:asciiTheme="minorHAnsi" w:hAnsiTheme="minorHAnsi" w:cs="Times New Roman"/>
          <w:sz w:val="18"/>
          <w:szCs w:val="18"/>
          <w:shd w:val="clear" w:color="auto" w:fill="FFFFFF"/>
        </w:rPr>
        <w:t xml:space="preserve">Systematic Review of Antimicrobial Resistance of Clinical </w:t>
      </w:r>
      <w:r w:rsidRPr="00C73697">
        <w:rPr>
          <w:rFonts w:asciiTheme="minorHAnsi" w:hAnsiTheme="minorHAnsi" w:cs="Times New Roman"/>
          <w:i/>
          <w:iCs/>
          <w:sz w:val="18"/>
          <w:szCs w:val="18"/>
          <w:shd w:val="clear" w:color="auto" w:fill="FFFFFF"/>
        </w:rPr>
        <w:t>Acinetobacter baumannii</w:t>
      </w:r>
      <w:r w:rsidRPr="00C73697">
        <w:rPr>
          <w:rFonts w:asciiTheme="minorHAnsi" w:hAnsiTheme="minorHAnsi" w:cs="Times New Roman"/>
          <w:sz w:val="18"/>
          <w:szCs w:val="18"/>
          <w:shd w:val="clear" w:color="auto" w:fill="FFFFFF"/>
        </w:rPr>
        <w:t xml:space="preserve"> Isolates in Iran: An </w:t>
      </w:r>
      <w:proofErr w:type="spellStart"/>
      <w:r w:rsidRPr="00C73697">
        <w:rPr>
          <w:rFonts w:asciiTheme="minorHAnsi" w:hAnsiTheme="minorHAnsi" w:cs="Times New Roman"/>
          <w:sz w:val="18"/>
          <w:szCs w:val="18"/>
          <w:shd w:val="clear" w:color="auto" w:fill="FFFFFF"/>
        </w:rPr>
        <w:t>Update.Microb</w:t>
      </w:r>
      <w:proofErr w:type="spellEnd"/>
      <w:r w:rsidRPr="00C73697">
        <w:rPr>
          <w:rFonts w:asciiTheme="minorHAnsi" w:hAnsiTheme="minorHAnsi" w:cs="Times New Roman"/>
          <w:sz w:val="18"/>
          <w:szCs w:val="18"/>
          <w:shd w:val="clear" w:color="auto" w:fill="FFFFFF"/>
        </w:rPr>
        <w:t xml:space="preserve"> Drug Resist. 2017</w:t>
      </w:r>
      <w:proofErr w:type="gramStart"/>
      <w:r w:rsidRPr="00C73697">
        <w:rPr>
          <w:rFonts w:asciiTheme="minorHAnsi" w:hAnsiTheme="minorHAnsi" w:cs="Times New Roman"/>
          <w:sz w:val="18"/>
          <w:szCs w:val="18"/>
          <w:shd w:val="clear" w:color="auto" w:fill="FFFFFF"/>
        </w:rPr>
        <w:t>;23</w:t>
      </w:r>
      <w:proofErr w:type="gramEnd"/>
      <w:r w:rsidRPr="00C73697">
        <w:rPr>
          <w:rFonts w:asciiTheme="minorHAnsi" w:hAnsiTheme="minorHAnsi" w:cs="Times New Roman"/>
          <w:sz w:val="18"/>
          <w:szCs w:val="18"/>
          <w:shd w:val="clear" w:color="auto" w:fill="FFFFFF"/>
        </w:rPr>
        <w:t>(6):744</w:t>
      </w:r>
      <w:r w:rsidRPr="00C73697">
        <w:rPr>
          <w:rFonts w:asciiTheme="minorHAnsi" w:hAnsiTheme="minorHAnsi" w:cs="Times New Roman"/>
          <w:sz w:val="18"/>
          <w:szCs w:val="18"/>
        </w:rPr>
        <w:t>–</w:t>
      </w:r>
      <w:r w:rsidRPr="00C73697">
        <w:rPr>
          <w:rFonts w:asciiTheme="minorHAnsi" w:hAnsiTheme="minorHAnsi" w:cs="Times New Roman"/>
          <w:sz w:val="18"/>
          <w:szCs w:val="18"/>
          <w:shd w:val="clear" w:color="auto" w:fill="FFFFFF"/>
        </w:rPr>
        <w:t>756.</w:t>
      </w:r>
    </w:p>
    <w:p w:rsidR="00C73697" w:rsidRPr="00C73697" w:rsidRDefault="00C73697" w:rsidP="00462B06">
      <w:pPr>
        <w:pStyle w:val="Paragraphedeliste"/>
        <w:widowControl/>
        <w:numPr>
          <w:ilvl w:val="0"/>
          <w:numId w:val="4"/>
        </w:numPr>
        <w:autoSpaceDE w:val="0"/>
        <w:autoSpaceDN w:val="0"/>
        <w:adjustRightInd w:val="0"/>
        <w:spacing w:before="0" w:line="276" w:lineRule="auto"/>
        <w:ind w:left="142" w:right="-142"/>
        <w:contextualSpacing/>
        <w:rPr>
          <w:rFonts w:asciiTheme="minorHAnsi" w:hAnsiTheme="minorHAnsi" w:cs="Times New Roman"/>
          <w:sz w:val="18"/>
          <w:szCs w:val="18"/>
        </w:rPr>
      </w:pPr>
      <w:r>
        <w:rPr>
          <w:rFonts w:asciiTheme="minorHAnsi" w:hAnsiTheme="minorHAnsi" w:cs="Times New Roman"/>
          <w:sz w:val="18"/>
          <w:szCs w:val="18"/>
          <w:shd w:val="clear" w:color="auto" w:fill="FFFFFF"/>
        </w:rPr>
        <w:t xml:space="preserve">4. </w:t>
      </w:r>
      <w:proofErr w:type="spellStart"/>
      <w:r w:rsidRPr="00C73697">
        <w:rPr>
          <w:rFonts w:asciiTheme="minorHAnsi" w:hAnsiTheme="minorHAnsi" w:cs="Times New Roman"/>
          <w:sz w:val="18"/>
          <w:szCs w:val="18"/>
          <w:shd w:val="clear" w:color="auto" w:fill="FFFFFF"/>
        </w:rPr>
        <w:t>Soltani</w:t>
      </w:r>
      <w:proofErr w:type="spellEnd"/>
      <w:r w:rsidRPr="00C73697">
        <w:rPr>
          <w:rFonts w:asciiTheme="minorHAnsi" w:hAnsiTheme="minorHAnsi" w:cs="Times New Roman"/>
          <w:sz w:val="18"/>
          <w:szCs w:val="18"/>
          <w:shd w:val="clear" w:color="auto" w:fill="FFFFFF"/>
        </w:rPr>
        <w:t xml:space="preserve"> B, et al. Molecular characteristics of multiple and extensive drug-resistant </w:t>
      </w:r>
      <w:r w:rsidRPr="00C73697">
        <w:rPr>
          <w:rFonts w:asciiTheme="minorHAnsi" w:hAnsiTheme="minorHAnsi" w:cs="Times New Roman"/>
          <w:i/>
          <w:iCs/>
          <w:sz w:val="18"/>
          <w:szCs w:val="18"/>
          <w:shd w:val="clear" w:color="auto" w:fill="FFFFFF"/>
        </w:rPr>
        <w:t>Acinetobacter baumannii</w:t>
      </w:r>
      <w:r w:rsidRPr="00C73697">
        <w:rPr>
          <w:rFonts w:asciiTheme="minorHAnsi" w:hAnsiTheme="minorHAnsi" w:cs="Times New Roman"/>
          <w:sz w:val="18"/>
          <w:szCs w:val="18"/>
          <w:shd w:val="clear" w:color="auto" w:fill="FFFFFF"/>
        </w:rPr>
        <w:t xml:space="preserve"> isolates obtained from hospitalized patients in Southwestern Iran. </w:t>
      </w:r>
      <w:proofErr w:type="spellStart"/>
      <w:r w:rsidRPr="00C73697">
        <w:rPr>
          <w:rFonts w:asciiTheme="minorHAnsi" w:hAnsiTheme="minorHAnsi" w:cs="Times New Roman"/>
          <w:sz w:val="18"/>
          <w:szCs w:val="18"/>
          <w:shd w:val="clear" w:color="auto" w:fill="FFFFFF"/>
        </w:rPr>
        <w:t>Infez</w:t>
      </w:r>
      <w:proofErr w:type="spellEnd"/>
      <w:r w:rsidRPr="00C73697">
        <w:rPr>
          <w:rFonts w:asciiTheme="minorHAnsi" w:hAnsiTheme="minorHAnsi" w:cs="Times New Roman"/>
          <w:sz w:val="18"/>
          <w:szCs w:val="18"/>
          <w:shd w:val="clear" w:color="auto" w:fill="FFFFFF"/>
        </w:rPr>
        <w:t xml:space="preserve"> Med. 2018 Mar 1</w:t>
      </w:r>
      <w:proofErr w:type="gramStart"/>
      <w:r w:rsidRPr="00C73697">
        <w:rPr>
          <w:rFonts w:asciiTheme="minorHAnsi" w:hAnsiTheme="minorHAnsi" w:cs="Times New Roman"/>
          <w:sz w:val="18"/>
          <w:szCs w:val="18"/>
          <w:shd w:val="clear" w:color="auto" w:fill="FFFFFF"/>
        </w:rPr>
        <w:t>;26</w:t>
      </w:r>
      <w:proofErr w:type="gramEnd"/>
      <w:r w:rsidRPr="00C73697">
        <w:rPr>
          <w:rFonts w:asciiTheme="minorHAnsi" w:hAnsiTheme="minorHAnsi" w:cs="Times New Roman"/>
          <w:sz w:val="18"/>
          <w:szCs w:val="18"/>
          <w:shd w:val="clear" w:color="auto" w:fill="FFFFFF"/>
        </w:rPr>
        <w:t>(1):67</w:t>
      </w:r>
      <w:r w:rsidRPr="00C73697">
        <w:rPr>
          <w:rFonts w:asciiTheme="minorHAnsi" w:hAnsiTheme="minorHAnsi" w:cs="Times New Roman"/>
          <w:sz w:val="18"/>
          <w:szCs w:val="18"/>
        </w:rPr>
        <w:t>–</w:t>
      </w:r>
      <w:r w:rsidRPr="00C73697">
        <w:rPr>
          <w:rFonts w:asciiTheme="minorHAnsi" w:hAnsiTheme="minorHAnsi" w:cs="Times New Roman"/>
          <w:sz w:val="18"/>
          <w:szCs w:val="18"/>
          <w:shd w:val="clear" w:color="auto" w:fill="FFFFFF"/>
        </w:rPr>
        <w:t>76</w:t>
      </w:r>
      <w:r w:rsidRPr="00C73697">
        <w:rPr>
          <w:rFonts w:asciiTheme="minorHAnsi" w:hAnsiTheme="minorHAnsi" w:cs="Times New Roman"/>
          <w:sz w:val="18"/>
          <w:szCs w:val="18"/>
        </w:rPr>
        <w:t>.</w:t>
      </w:r>
    </w:p>
    <w:p w:rsidR="00C73697" w:rsidRPr="00C73697" w:rsidRDefault="00C73697" w:rsidP="00462B06">
      <w:pPr>
        <w:pStyle w:val="Paragraphedeliste"/>
        <w:widowControl/>
        <w:numPr>
          <w:ilvl w:val="0"/>
          <w:numId w:val="4"/>
        </w:numPr>
        <w:spacing w:before="0" w:line="276" w:lineRule="auto"/>
        <w:ind w:left="142" w:right="-142"/>
        <w:contextualSpacing/>
        <w:rPr>
          <w:rFonts w:asciiTheme="minorHAnsi" w:hAnsiTheme="minorHAnsi" w:cs="Times New Roman"/>
          <w:sz w:val="14"/>
          <w:szCs w:val="14"/>
        </w:rPr>
      </w:pPr>
      <w:r>
        <w:rPr>
          <w:rFonts w:asciiTheme="minorHAnsi" w:hAnsiTheme="minorHAnsi" w:cs="Times New Roman"/>
          <w:sz w:val="18"/>
          <w:szCs w:val="18"/>
          <w:shd w:val="clear" w:color="auto" w:fill="FFFFFF"/>
        </w:rPr>
        <w:t xml:space="preserve">5. </w:t>
      </w:r>
      <w:proofErr w:type="spellStart"/>
      <w:r w:rsidRPr="00C73697">
        <w:rPr>
          <w:rFonts w:asciiTheme="minorHAnsi" w:hAnsiTheme="minorHAnsi" w:cs="Times New Roman"/>
          <w:sz w:val="18"/>
          <w:szCs w:val="18"/>
          <w:shd w:val="clear" w:color="auto" w:fill="FFFFFF"/>
        </w:rPr>
        <w:t>Jahansepas</w:t>
      </w:r>
      <w:proofErr w:type="spellEnd"/>
      <w:r w:rsidRPr="00C73697">
        <w:rPr>
          <w:rFonts w:asciiTheme="minorHAnsi" w:hAnsiTheme="minorHAnsi" w:cs="Times New Roman"/>
          <w:sz w:val="18"/>
          <w:szCs w:val="18"/>
          <w:shd w:val="clear" w:color="auto" w:fill="FFFFFF"/>
        </w:rPr>
        <w:t xml:space="preserve"> A, et al. Occurrence of </w:t>
      </w:r>
      <w:r w:rsidRPr="00C73697">
        <w:rPr>
          <w:rFonts w:asciiTheme="minorHAnsi" w:hAnsiTheme="minorHAnsi" w:cs="Times New Roman"/>
          <w:i/>
          <w:iCs/>
          <w:sz w:val="18"/>
          <w:szCs w:val="18"/>
          <w:shd w:val="clear" w:color="auto" w:fill="FFFFFF"/>
        </w:rPr>
        <w:t>Enterococcus faecalis</w:t>
      </w:r>
      <w:r w:rsidRPr="00C73697">
        <w:rPr>
          <w:rFonts w:asciiTheme="minorHAnsi" w:hAnsiTheme="minorHAnsi" w:cs="Times New Roman"/>
          <w:sz w:val="18"/>
          <w:szCs w:val="18"/>
          <w:shd w:val="clear" w:color="auto" w:fill="FFFFFF"/>
        </w:rPr>
        <w:t xml:space="preserve"> and </w:t>
      </w:r>
      <w:r w:rsidRPr="00C73697">
        <w:rPr>
          <w:rFonts w:asciiTheme="minorHAnsi" w:hAnsiTheme="minorHAnsi" w:cs="Times New Roman"/>
          <w:i/>
          <w:iCs/>
          <w:sz w:val="18"/>
          <w:szCs w:val="18"/>
          <w:shd w:val="clear" w:color="auto" w:fill="FFFFFF"/>
        </w:rPr>
        <w:t xml:space="preserve">Enterococcus </w:t>
      </w:r>
      <w:proofErr w:type="spellStart"/>
      <w:r w:rsidRPr="00C73697">
        <w:rPr>
          <w:rFonts w:asciiTheme="minorHAnsi" w:hAnsiTheme="minorHAnsi" w:cs="Times New Roman"/>
          <w:i/>
          <w:iCs/>
          <w:sz w:val="18"/>
          <w:szCs w:val="18"/>
          <w:shd w:val="clear" w:color="auto" w:fill="FFFFFF"/>
        </w:rPr>
        <w:t>faecium</w:t>
      </w:r>
      <w:proofErr w:type="spellEnd"/>
      <w:r w:rsidRPr="00C73697">
        <w:rPr>
          <w:rFonts w:asciiTheme="minorHAnsi" w:hAnsiTheme="minorHAnsi" w:cs="Times New Roman"/>
          <w:sz w:val="18"/>
          <w:szCs w:val="18"/>
          <w:shd w:val="clear" w:color="auto" w:fill="FFFFFF"/>
        </w:rPr>
        <w:t xml:space="preserve"> in Various Clinical Infections: Detection of Their Drug Resistance and Virulence </w:t>
      </w:r>
      <w:proofErr w:type="spellStart"/>
      <w:r w:rsidRPr="00C73697">
        <w:rPr>
          <w:rFonts w:asciiTheme="minorHAnsi" w:hAnsiTheme="minorHAnsi" w:cs="Times New Roman"/>
          <w:sz w:val="18"/>
          <w:szCs w:val="18"/>
          <w:shd w:val="clear" w:color="auto" w:fill="FFFFFF"/>
        </w:rPr>
        <w:t>Determinants.Microb</w:t>
      </w:r>
      <w:proofErr w:type="spellEnd"/>
      <w:r w:rsidRPr="00C73697">
        <w:rPr>
          <w:rFonts w:asciiTheme="minorHAnsi" w:hAnsiTheme="minorHAnsi" w:cs="Times New Roman"/>
          <w:sz w:val="18"/>
          <w:szCs w:val="18"/>
          <w:shd w:val="clear" w:color="auto" w:fill="FFFFFF"/>
        </w:rPr>
        <w:t xml:space="preserve"> Drug Resist. 2018; 24(1):76</w:t>
      </w:r>
      <w:r w:rsidRPr="00C73697">
        <w:rPr>
          <w:rFonts w:asciiTheme="minorHAnsi" w:hAnsiTheme="minorHAnsi" w:cs="Times New Roman"/>
          <w:sz w:val="18"/>
          <w:szCs w:val="18"/>
        </w:rPr>
        <w:t>–</w:t>
      </w:r>
      <w:r w:rsidRPr="00C73697">
        <w:rPr>
          <w:rFonts w:asciiTheme="minorHAnsi" w:hAnsiTheme="minorHAnsi" w:cs="Times New Roman"/>
          <w:sz w:val="18"/>
          <w:szCs w:val="18"/>
          <w:shd w:val="clear" w:color="auto" w:fill="FFFFFF"/>
        </w:rPr>
        <w:t>82.</w:t>
      </w:r>
    </w:p>
    <w:p w:rsidR="00AE3E37" w:rsidRDefault="00AE3E37">
      <w:pPr>
        <w:spacing w:line="200" w:lineRule="exact"/>
        <w:jc w:val="both"/>
        <w:rPr>
          <w:rFonts w:ascii="Calibri" w:hAnsi="Calibri"/>
        </w:rPr>
        <w:sectPr w:rsidR="00AE3E37" w:rsidSect="006939D8">
          <w:type w:val="continuous"/>
          <w:pgSz w:w="11910" w:h="16840"/>
          <w:pgMar w:top="995" w:right="600" w:bottom="284"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057E9C" w:rsidP="006939D8">
      <w:pPr>
        <w:pStyle w:val="Corpsdetexte"/>
        <w:spacing w:line="40" w:lineRule="exact"/>
        <w:ind w:left="1701"/>
        <w:rPr>
          <w:rFonts w:ascii="Calibri"/>
          <w:sz w:val="4"/>
        </w:rPr>
      </w:pPr>
      <w:r w:rsidRPr="00057E9C">
        <w:rPr>
          <w:rFonts w:ascii="Calibri"/>
          <w:noProof/>
          <w:sz w:val="4"/>
          <w:lang w:val="en-IN" w:eastAsia="en-IN"/>
        </w:rPr>
      </w:r>
      <w:r w:rsidRPr="00057E9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C37AE">
      <w:pPr>
        <w:spacing w:after="240"/>
        <w:ind w:right="4234"/>
        <w:rPr>
          <w:rFonts w:ascii="Arial"/>
        </w:rPr>
      </w:pPr>
      <w:bookmarkStart w:id="0" w:name="_GoBack"/>
      <w:bookmarkEnd w:id="0"/>
      <w:r>
        <w:rPr>
          <w:noProof/>
        </w:rPr>
        <w:t xml:space="preserve">              </w:t>
      </w:r>
      <w:r>
        <w:rPr>
          <w:noProof/>
          <w:lang w:val="fr-FR" w:eastAsia="fr-F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4C37AE" w:rsidRPr="004C37AE" w:rsidRDefault="004C37AE" w:rsidP="004C37AE">
      <w:pPr>
        <w:spacing w:line="360" w:lineRule="auto"/>
        <w:ind w:left="-284" w:right="-142"/>
        <w:jc w:val="both"/>
        <w:rPr>
          <w:rFonts w:ascii="Arial"/>
          <w:sz w:val="14"/>
        </w:rPr>
      </w:pPr>
      <w:r w:rsidRPr="004C37AE">
        <w:rPr>
          <w:rFonts w:ascii="Arial"/>
          <w:sz w:val="14"/>
        </w:rPr>
        <w:t>I present my work done and the work that is in progress, for obtaining a doctoral degree under the following theme:</w:t>
      </w:r>
      <w:r>
        <w:rPr>
          <w:rFonts w:ascii="Arial"/>
          <w:sz w:val="14"/>
        </w:rPr>
        <w:t xml:space="preserve"> </w:t>
      </w:r>
      <w:r w:rsidRPr="004C37AE">
        <w:rPr>
          <w:rFonts w:ascii="Arial"/>
          <w:sz w:val="14"/>
        </w:rPr>
        <w:t>Analysis and characterization of strains resistant to antibiotic treatments of the foot in diabetic patients.</w:t>
      </w:r>
    </w:p>
    <w:p w:rsidR="004C37AE" w:rsidRDefault="004C37AE" w:rsidP="004C37AE">
      <w:pPr>
        <w:spacing w:line="360" w:lineRule="auto"/>
        <w:ind w:left="-284" w:right="-142"/>
        <w:jc w:val="both"/>
        <w:rPr>
          <w:rFonts w:ascii="Arial"/>
          <w:sz w:val="14"/>
        </w:rPr>
      </w:pPr>
      <w:r w:rsidRPr="004C37AE">
        <w:rPr>
          <w:rFonts w:ascii="Arial"/>
          <w:sz w:val="14"/>
        </w:rPr>
        <w:t>I chose this theme because the emergence of multi-resistant bacteria responsible for diabetic foot infection is a public health problem and a hot topic.</w:t>
      </w:r>
      <w:r>
        <w:rPr>
          <w:rFonts w:ascii="Arial"/>
          <w:sz w:val="14"/>
        </w:rPr>
        <w:t xml:space="preserve"> </w:t>
      </w:r>
      <w:r w:rsidRPr="004C37AE">
        <w:rPr>
          <w:rFonts w:ascii="Arial"/>
          <w:sz w:val="14"/>
        </w:rPr>
        <w:t>This training will allow me to develop and deepen my know-how and prepare myself for the duties of a participating researcher in Science Technology and Health</w:t>
      </w:r>
      <w:r>
        <w:rPr>
          <w:rFonts w:ascii="Arial"/>
          <w:sz w:val="14"/>
        </w:rPr>
        <w:t>.</w:t>
      </w:r>
    </w:p>
    <w:p w:rsidR="00D91AA0" w:rsidRPr="004C37AE" w:rsidRDefault="00D91AA0" w:rsidP="004C37AE">
      <w:pPr>
        <w:spacing w:line="360" w:lineRule="auto"/>
        <w:ind w:left="-284" w:right="-142"/>
        <w:jc w:val="center"/>
        <w:rPr>
          <w:rFonts w:asciiTheme="minorBidi" w:eastAsia="Times New Roman" w:hAnsiTheme="minorBidi" w:cstheme="minorBidi"/>
          <w:sz w:val="14"/>
          <w:szCs w:val="14"/>
          <w:bdr w:val="none" w:sz="0" w:space="0" w:color="auto" w:frame="1"/>
        </w:rPr>
      </w:pPr>
      <w:r w:rsidRPr="004C37AE">
        <w:rPr>
          <w:rFonts w:asciiTheme="minorBidi" w:eastAsia="Times New Roman" w:hAnsiTheme="minorBidi" w:cstheme="minorBidi"/>
          <w:sz w:val="14"/>
          <w:szCs w:val="14"/>
          <w:bdr w:val="none" w:sz="0" w:space="0" w:color="auto" w:frame="1"/>
        </w:rPr>
        <w:t xml:space="preserve">E-mail: </w:t>
      </w:r>
      <w:hyperlink r:id="rId10" w:history="1">
        <w:r w:rsidRPr="004C37AE">
          <w:rPr>
            <w:rStyle w:val="Lienhypertexte"/>
            <w:rFonts w:asciiTheme="minorBidi" w:eastAsia="Times New Roman" w:hAnsiTheme="minorBidi" w:cstheme="minorBidi"/>
            <w:color w:val="4F81BD" w:themeColor="accent1"/>
            <w:sz w:val="14"/>
            <w:szCs w:val="14"/>
            <w:bdr w:val="none" w:sz="0" w:space="0" w:color="auto" w:frame="1"/>
          </w:rPr>
          <w:t>bouharkatbakhta@hotmail.com</w:t>
        </w:r>
      </w:hyperlink>
    </w:p>
    <w:p w:rsidR="00AE3E37" w:rsidRPr="004C37AE" w:rsidRDefault="00057E9C">
      <w:pPr>
        <w:pStyle w:val="Corpsdetexte"/>
        <w:spacing w:before="2"/>
        <w:rPr>
          <w:rFonts w:ascii="Arial"/>
          <w:sz w:val="19"/>
        </w:rPr>
      </w:pPr>
      <w:r w:rsidRPr="00057E9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4C37AE" w:rsidRDefault="00AE3E37">
      <w:pPr>
        <w:pStyle w:val="Corpsdetexte"/>
        <w:rPr>
          <w:rFonts w:ascii="Arial"/>
          <w:sz w:val="20"/>
        </w:rPr>
      </w:pPr>
    </w:p>
    <w:p w:rsidR="00AE3E37" w:rsidRPr="004C37AE" w:rsidRDefault="00AE3E37">
      <w:pPr>
        <w:pStyle w:val="Corpsdetexte"/>
        <w:rPr>
          <w:rFonts w:ascii="Arial"/>
          <w:sz w:val="20"/>
        </w:rPr>
      </w:pPr>
    </w:p>
    <w:p w:rsidR="00AE3E37" w:rsidRPr="004C37AE" w:rsidRDefault="00AE3E37">
      <w:pPr>
        <w:pStyle w:val="Corpsdetexte"/>
        <w:spacing w:before="7"/>
        <w:rPr>
          <w:rFonts w:ascii="Arial"/>
          <w:sz w:val="29"/>
        </w:rPr>
      </w:pPr>
    </w:p>
    <w:p w:rsidR="00AE3E37" w:rsidRPr="00B21A57" w:rsidRDefault="00A9710C" w:rsidP="00972CEE">
      <w:pPr>
        <w:spacing w:before="39"/>
        <w:rPr>
          <w:rFonts w:ascii="Minion Pro"/>
          <w:b/>
          <w:sz w:val="20"/>
        </w:rPr>
      </w:pPr>
      <w:r w:rsidRPr="00B21A57">
        <w:rPr>
          <w:rFonts w:ascii="Minion Pro"/>
          <w:b/>
          <w:sz w:val="20"/>
        </w:rPr>
        <w:t>Notes/Comments:</w:t>
      </w:r>
    </w:p>
    <w:p w:rsidR="00972CEE" w:rsidRDefault="00972CEE" w:rsidP="00F046EA">
      <w:pPr>
        <w:jc w:val="both"/>
        <w:rPr>
          <w:b/>
        </w:rPr>
      </w:pPr>
    </w:p>
    <w:p w:rsidR="00F046EA" w:rsidRPr="0013708E" w:rsidRDefault="00F046EA" w:rsidP="00F046EA">
      <w:pPr>
        <w:jc w:val="both"/>
        <w:rPr>
          <w:b/>
        </w:rPr>
      </w:pPr>
      <w:r w:rsidRPr="0013708E">
        <w:rPr>
          <w:b/>
        </w:rPr>
        <w:t xml:space="preserve">Presenting author details </w:t>
      </w:r>
    </w:p>
    <w:p w:rsidR="00972CEE" w:rsidRPr="005C3D8E" w:rsidRDefault="00972CEE" w:rsidP="00972CEE">
      <w:pPr>
        <w:jc w:val="both"/>
      </w:pPr>
      <w:r w:rsidRPr="005C3D8E">
        <w:t xml:space="preserve">Full name: </w:t>
      </w:r>
      <w:r>
        <w:t xml:space="preserve">Bouharkat </w:t>
      </w:r>
      <w:proofErr w:type="spellStart"/>
      <w:r>
        <w:t>Bakhta</w:t>
      </w:r>
      <w:proofErr w:type="spellEnd"/>
    </w:p>
    <w:p w:rsidR="00972CEE" w:rsidRPr="00375CAE" w:rsidRDefault="00972CEE" w:rsidP="00972CEE">
      <w:pPr>
        <w:rPr>
          <w:rFonts w:asciiTheme="majorBidi" w:hAnsiTheme="majorBidi" w:cstheme="majorBidi"/>
          <w:sz w:val="24"/>
          <w:szCs w:val="24"/>
          <w:shd w:val="clear" w:color="auto" w:fill="FFFFFF"/>
        </w:rPr>
      </w:pPr>
      <w:r w:rsidRPr="005C3D8E">
        <w:t>Contact number:</w:t>
      </w:r>
      <w:r>
        <w:t xml:space="preserve"> </w:t>
      </w:r>
      <w:r w:rsidRPr="00375CAE">
        <w:rPr>
          <w:rFonts w:asciiTheme="majorBidi" w:hAnsiTheme="majorBidi" w:cstheme="majorBidi"/>
          <w:sz w:val="24"/>
          <w:szCs w:val="24"/>
          <w:shd w:val="clear" w:color="auto" w:fill="FFFFFF"/>
        </w:rPr>
        <w:t xml:space="preserve"> +213 0668 504 053</w:t>
      </w:r>
    </w:p>
    <w:p w:rsidR="00972CEE" w:rsidRPr="00C25974" w:rsidRDefault="00972CEE" w:rsidP="00972CEE">
      <w:pPr>
        <w:jc w:val="both"/>
        <w:rPr>
          <w:rFonts w:asciiTheme="minorBidi" w:hAnsiTheme="minorBidi" w:cstheme="minorBidi"/>
          <w:sz w:val="14"/>
          <w:szCs w:val="14"/>
        </w:rPr>
      </w:pPr>
      <w:r w:rsidRPr="005C3D8E">
        <w:t xml:space="preserve">Mail id: </w:t>
      </w:r>
      <w:hyperlink r:id="rId11" w:history="1">
        <w:r w:rsidRPr="00B31335">
          <w:rPr>
            <w:rStyle w:val="Lienhypertexte"/>
            <w:rFonts w:eastAsia="Times New Roman" w:cstheme="minorBidi"/>
            <w:color w:val="auto"/>
            <w:u w:val="none"/>
            <w:bdr w:val="none" w:sz="0" w:space="0" w:color="auto" w:frame="1"/>
          </w:rPr>
          <w:t>bouharkatbakhta@hotmail.com</w:t>
        </w:r>
      </w:hyperlink>
    </w:p>
    <w:p w:rsidR="00972CEE" w:rsidRPr="005C3D8E" w:rsidRDefault="00972CEE" w:rsidP="00972CEE">
      <w:pPr>
        <w:jc w:val="both"/>
      </w:pPr>
      <w:r w:rsidRPr="005C3D8E">
        <w:t xml:space="preserve">Category: (Poster presentation) </w:t>
      </w:r>
    </w:p>
    <w:p w:rsidR="00AE3E37" w:rsidRDefault="00AE3E37">
      <w:pPr>
        <w:pStyle w:val="Corpsdetexte"/>
        <w:spacing w:before="3"/>
        <w:rPr>
          <w:rFonts w:ascii="Minion Pro"/>
          <w:sz w:val="26"/>
        </w:rPr>
      </w:pPr>
    </w:p>
    <w:sectPr w:rsidR="00AE3E37" w:rsidSect="006939D8">
      <w:type w:val="continuous"/>
      <w:pgSz w:w="12240" w:h="15840"/>
      <w:pgMar w:top="1418"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0C9E" w:rsidRDefault="00B20C9E">
      <w:r>
        <w:separator/>
      </w:r>
    </w:p>
  </w:endnote>
  <w:endnote w:type="continuationSeparator" w:id="0">
    <w:p w:rsidR="00B20C9E" w:rsidRDefault="00B20C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57E9C">
    <w:pPr>
      <w:pStyle w:val="Corpsdetexte"/>
      <w:spacing w:line="14" w:lineRule="auto"/>
      <w:rPr>
        <w:sz w:val="20"/>
      </w:rPr>
    </w:pPr>
    <w:r w:rsidRPr="00057E9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57E9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57E9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0C9E" w:rsidRDefault="00B20C9E">
      <w:r>
        <w:separator/>
      </w:r>
    </w:p>
  </w:footnote>
  <w:footnote w:type="continuationSeparator" w:id="0">
    <w:p w:rsidR="00B20C9E" w:rsidRDefault="00B20C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6377D1"/>
    <w:multiLevelType w:val="hybridMultilevel"/>
    <w:tmpl w:val="6B52B1D2"/>
    <w:lvl w:ilvl="0" w:tplc="7028480A">
      <w:start w:val="1"/>
      <w:numFmt w:val="decimal"/>
      <w:lvlText w:val="%1."/>
      <w:lvlJc w:val="left"/>
      <w:pPr>
        <w:ind w:left="720" w:hanging="360"/>
      </w:pPr>
      <w:rPr>
        <w:rFonts w:hint="default"/>
        <w:b/>
        <w:bCs/>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227D6"/>
    <w:rsid w:val="00057E9C"/>
    <w:rsid w:val="000E2911"/>
    <w:rsid w:val="001263DF"/>
    <w:rsid w:val="00225D6F"/>
    <w:rsid w:val="00292ED9"/>
    <w:rsid w:val="003111F7"/>
    <w:rsid w:val="00351D9B"/>
    <w:rsid w:val="00380299"/>
    <w:rsid w:val="00404E5B"/>
    <w:rsid w:val="00414F7B"/>
    <w:rsid w:val="004355DC"/>
    <w:rsid w:val="00462B06"/>
    <w:rsid w:val="004749B4"/>
    <w:rsid w:val="00494130"/>
    <w:rsid w:val="004C37AE"/>
    <w:rsid w:val="004F3523"/>
    <w:rsid w:val="005166C0"/>
    <w:rsid w:val="005973B9"/>
    <w:rsid w:val="005B3A56"/>
    <w:rsid w:val="006060CE"/>
    <w:rsid w:val="0061505C"/>
    <w:rsid w:val="00617C8C"/>
    <w:rsid w:val="0063497F"/>
    <w:rsid w:val="006939D8"/>
    <w:rsid w:val="00714354"/>
    <w:rsid w:val="007A705D"/>
    <w:rsid w:val="00873DF0"/>
    <w:rsid w:val="008756E6"/>
    <w:rsid w:val="00897EC5"/>
    <w:rsid w:val="008E5477"/>
    <w:rsid w:val="00963BAA"/>
    <w:rsid w:val="00972CEE"/>
    <w:rsid w:val="009B2D44"/>
    <w:rsid w:val="00A07E82"/>
    <w:rsid w:val="00A3490F"/>
    <w:rsid w:val="00A52075"/>
    <w:rsid w:val="00A9710C"/>
    <w:rsid w:val="00AE3E37"/>
    <w:rsid w:val="00B20C9E"/>
    <w:rsid w:val="00B21A57"/>
    <w:rsid w:val="00C33602"/>
    <w:rsid w:val="00C56C74"/>
    <w:rsid w:val="00C73697"/>
    <w:rsid w:val="00CD6F55"/>
    <w:rsid w:val="00D91AA0"/>
    <w:rsid w:val="00D91FFE"/>
    <w:rsid w:val="00DC77BD"/>
    <w:rsid w:val="00DE3104"/>
    <w:rsid w:val="00DE6170"/>
    <w:rsid w:val="00E30AAC"/>
    <w:rsid w:val="00E44C71"/>
    <w:rsid w:val="00E46275"/>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uharkatbakhta@hotmail.com" TargetMode="External"/><Relationship Id="rId5" Type="http://schemas.openxmlformats.org/officeDocument/2006/relationships/footnotes" Target="footnotes.xml"/><Relationship Id="rId10" Type="http://schemas.openxmlformats.org/officeDocument/2006/relationships/hyperlink" Target="mailto:bouharkatbakhta@hotmai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NIB\Desktop\DMED\Classeu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7485842008551725"/>
          <c:y val="5.1400554097404488E-2"/>
          <c:w val="0.80226399406295645"/>
          <c:h val="0.55079090113735774"/>
        </c:manualLayout>
      </c:layout>
      <c:barChart>
        <c:barDir val="col"/>
        <c:grouping val="clustered"/>
        <c:ser>
          <c:idx val="0"/>
          <c:order val="0"/>
          <c:dPt>
            <c:idx val="0"/>
            <c:spPr>
              <a:solidFill>
                <a:schemeClr val="tx1">
                  <a:lumMod val="50000"/>
                  <a:lumOff val="50000"/>
                </a:schemeClr>
              </a:solidFill>
            </c:spPr>
          </c:dPt>
          <c:dPt>
            <c:idx val="1"/>
            <c:spPr>
              <a:solidFill>
                <a:schemeClr val="tx1">
                  <a:lumMod val="65000"/>
                  <a:lumOff val="35000"/>
                </a:schemeClr>
              </a:solidFill>
            </c:spPr>
          </c:dPt>
          <c:dPt>
            <c:idx val="2"/>
            <c:spPr>
              <a:solidFill>
                <a:schemeClr val="bg1">
                  <a:lumMod val="65000"/>
                </a:schemeClr>
              </a:solidFill>
            </c:spPr>
          </c:dPt>
          <c:dPt>
            <c:idx val="3"/>
            <c:spPr>
              <a:solidFill>
                <a:schemeClr val="bg1">
                  <a:lumMod val="50000"/>
                </a:schemeClr>
              </a:solidFill>
            </c:spPr>
          </c:dPt>
          <c:dPt>
            <c:idx val="4"/>
            <c:spPr>
              <a:solidFill>
                <a:schemeClr val="bg1">
                  <a:lumMod val="85000"/>
                </a:schemeClr>
              </a:solidFill>
            </c:spPr>
          </c:dPt>
          <c:dPt>
            <c:idx val="5"/>
            <c:spPr>
              <a:solidFill>
                <a:schemeClr val="tx1">
                  <a:lumMod val="50000"/>
                  <a:lumOff val="50000"/>
                </a:schemeClr>
              </a:solidFill>
            </c:spPr>
          </c:dPt>
          <c:cat>
            <c:strRef>
              <c:f>Feuil2!$A$4:$A$9</c:f>
              <c:strCache>
                <c:ptCount val="6"/>
                <c:pt idx="0">
                  <c:v>A.baumannii </c:v>
                </c:pt>
                <c:pt idx="1">
                  <c:v>Staphylococci</c:v>
                </c:pt>
                <c:pt idx="2">
                  <c:v>E.faecalis </c:v>
                </c:pt>
                <c:pt idx="3">
                  <c:v>Enterobacteriaceae</c:v>
                </c:pt>
                <c:pt idx="4">
                  <c:v>P.aeruginosa</c:v>
                </c:pt>
                <c:pt idx="5">
                  <c:v>Streptococcus sp</c:v>
                </c:pt>
              </c:strCache>
            </c:strRef>
          </c:cat>
          <c:val>
            <c:numRef>
              <c:f>Feuil2!$B$4:$B$9</c:f>
              <c:numCache>
                <c:formatCode>General</c:formatCode>
                <c:ptCount val="6"/>
                <c:pt idx="0">
                  <c:v>100</c:v>
                </c:pt>
                <c:pt idx="1">
                  <c:v>82.6</c:v>
                </c:pt>
                <c:pt idx="2">
                  <c:v>60</c:v>
                </c:pt>
                <c:pt idx="3">
                  <c:v>58.690000000000012</c:v>
                </c:pt>
                <c:pt idx="4">
                  <c:v>47.2</c:v>
                </c:pt>
                <c:pt idx="5">
                  <c:v>44.44</c:v>
                </c:pt>
              </c:numCache>
            </c:numRef>
          </c:val>
        </c:ser>
        <c:axId val="149982208"/>
        <c:axId val="149984000"/>
      </c:barChart>
      <c:catAx>
        <c:axId val="149982208"/>
        <c:scaling>
          <c:orientation val="minMax"/>
        </c:scaling>
        <c:axPos val="b"/>
        <c:tickLblPos val="nextTo"/>
        <c:txPr>
          <a:bodyPr/>
          <a:lstStyle/>
          <a:p>
            <a:pPr>
              <a:defRPr sz="900" b="1" i="1"/>
            </a:pPr>
            <a:endParaRPr lang="fr-FR"/>
          </a:p>
        </c:txPr>
        <c:crossAx val="149984000"/>
        <c:crosses val="autoZero"/>
        <c:auto val="1"/>
        <c:lblAlgn val="ctr"/>
        <c:lblOffset val="100"/>
      </c:catAx>
      <c:valAx>
        <c:axId val="149984000"/>
        <c:scaling>
          <c:orientation val="minMax"/>
        </c:scaling>
        <c:axPos val="l"/>
        <c:numFmt formatCode="General" sourceLinked="1"/>
        <c:tickLblPos val="nextTo"/>
        <c:txPr>
          <a:bodyPr/>
          <a:lstStyle/>
          <a:p>
            <a:pPr>
              <a:defRPr b="1"/>
            </a:pPr>
            <a:endParaRPr lang="fr-FR"/>
          </a:p>
        </c:txPr>
        <c:crossAx val="149982208"/>
        <c:crosses val="autoZero"/>
        <c:crossBetween val="between"/>
      </c:valAx>
    </c:plotArea>
    <c:plotVisOnly val="1"/>
  </c:chart>
  <c:externalData r:id="rId1"/>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0.01971</cdr:x>
      <cdr:y>0</cdr:y>
    </cdr:from>
    <cdr:to>
      <cdr:x>0.10052</cdr:x>
      <cdr:y>0.63742</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69011" y="0"/>
          <a:ext cx="282874" cy="1457143"/>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716</Words>
  <Characters>3943</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NIB</cp:lastModifiedBy>
  <cp:revision>17</cp:revision>
  <dcterms:created xsi:type="dcterms:W3CDTF">2021-09-08T20:55:00Z</dcterms:created>
  <dcterms:modified xsi:type="dcterms:W3CDTF">2021-09-08T21:36:00Z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