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DFB" w:rsidRPr="00B86DFB" w:rsidRDefault="00B86DFB" w:rsidP="00B86DFB">
      <w:pPr>
        <w:pStyle w:val="BodyText"/>
        <w:tabs>
          <w:tab w:val="left" w:pos="7380"/>
        </w:tabs>
        <w:spacing w:before="73"/>
        <w:ind w:left="100" w:right="70"/>
        <w:jc w:val="center"/>
        <w:rPr>
          <w:rFonts w:ascii="Minion Pro" w:eastAsia="Minion Pro" w:hAnsi="Minion Pro" w:cs="Minion Pro"/>
          <w:b/>
          <w:bCs/>
          <w:color w:val="337AB7"/>
          <w:sz w:val="36"/>
          <w:szCs w:val="36"/>
        </w:rPr>
      </w:pPr>
      <w:r w:rsidRPr="00B86DFB">
        <w:rPr>
          <w:rFonts w:ascii="Minion Pro" w:eastAsia="Minion Pro" w:hAnsi="Minion Pro" w:cs="Minion Pro"/>
          <w:b/>
          <w:bCs/>
          <w:color w:val="337AB7"/>
          <w:sz w:val="36"/>
          <w:szCs w:val="36"/>
        </w:rPr>
        <w:t>The Triglyceride-Glucose Index as a Clinical Useful Marker for Metabolic Associated Fatty Liver Disease (MAFLD): A Population-Based Study among Iranian Adults</w:t>
      </w:r>
    </w:p>
    <w:p w:rsidR="005973B9" w:rsidRDefault="00B86DFB" w:rsidP="00B86DFB">
      <w:pPr>
        <w:pStyle w:val="BodyText"/>
        <w:tabs>
          <w:tab w:val="left" w:pos="9900"/>
        </w:tabs>
        <w:spacing w:before="73" w:line="198" w:lineRule="exact"/>
        <w:ind w:left="100" w:right="5987"/>
        <w:rPr>
          <w:rFonts w:ascii="Arial"/>
        </w:rPr>
      </w:pPr>
      <w:r>
        <w:rPr>
          <w:rFonts w:ascii="Arial"/>
        </w:rPr>
        <w:t>Ehsaneh Taheri, PhD, Sh.Beheshtii University of Medical Sciences, Iran</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570F8E" w:rsidRPr="00570F8E" w:rsidRDefault="00A9710C" w:rsidP="00570F8E">
      <w:pPr>
        <w:pStyle w:val="BodyText"/>
        <w:spacing w:before="90" w:line="280" w:lineRule="auto"/>
        <w:ind w:left="100"/>
        <w:jc w:val="both"/>
      </w:pPr>
      <w:r w:rsidRPr="00B86DFB">
        <w:rPr>
          <w:b/>
          <w:bCs/>
        </w:rPr>
        <w:t>Statement of the Problem</w:t>
      </w:r>
      <w:r>
        <w:t xml:space="preserve">: </w:t>
      </w:r>
      <w:r w:rsidR="00570F8E" w:rsidRPr="00570F8E">
        <w:t>There is a bi-directional association between non-alcoholic fatty liver disease (NAFLD) and insulin resistance in type 2 diabetes mellitus (T2DM) and metabolic syndrome. The triglyceride-glucose (TyG) index is a novel surrogate marker of insulin resistance. In this population-based study, we aimed firstly to investigate the association of the TyG-index with metabolic-associated fatty liver disease (MAFLD) risk.</w:t>
      </w:r>
      <w:r w:rsidR="00570F8E">
        <w:t xml:space="preserve"> </w:t>
      </w:r>
      <w:r w:rsidRPr="00570F8E">
        <w:rPr>
          <w:b/>
          <w:bCs/>
        </w:rPr>
        <w:t>Methodolog</w:t>
      </w:r>
      <w:r w:rsidR="008756E6" w:rsidRPr="00570F8E">
        <w:rPr>
          <w:b/>
          <w:bCs/>
        </w:rPr>
        <w:t>y &amp; Theoretical Orientation</w:t>
      </w:r>
      <w:r w:rsidR="008756E6">
        <w:t xml:space="preserve">: </w:t>
      </w:r>
      <w:r w:rsidR="00570F8E" w:rsidRPr="00570F8E">
        <w:t>This case-control study used the data from the first phase of the Persian Cohort Study in Sabzevar. Of 4,241 participants aged 35 to 70 years, we identified and recruited 968 MAFLD cases and 964 age- and sex-adjusted controls. Demographic, lifestyle, anthropometric, and biochemical information were collected. We calculated TyG and a new index combined of TyG and alanine aminotransferase (TyG-ALT). We used the multivariable unconditional logistic regression model to calculate the odds ratios (ORs) of the TyG and TyG-ALT for having MAFLD.</w:t>
      </w:r>
      <w:r w:rsidR="00570F8E">
        <w:t xml:space="preserve"> </w:t>
      </w:r>
      <w:r w:rsidRPr="00B86DFB">
        <w:rPr>
          <w:b/>
          <w:bCs/>
        </w:rPr>
        <w:t>Findings:</w:t>
      </w:r>
      <w:r>
        <w:t xml:space="preserve"> </w:t>
      </w:r>
      <w:r w:rsidR="00570F8E" w:rsidRPr="00570F8E">
        <w:t xml:space="preserve">Among those in the highest relative to the lowest TyG and TyG-ALT tertiles, the multivariable-adjusted ORs were 12.01 (95% CI [confidence interval] 9.03 – 15.98; </w:t>
      </w:r>
      <w:r w:rsidR="00570F8E" w:rsidRPr="00570F8E">
        <w:rPr>
          <w:i/>
          <w:iCs/>
        </w:rPr>
        <w:t>P</w:t>
      </w:r>
      <w:r w:rsidR="00570F8E" w:rsidRPr="00570F8E">
        <w:rPr>
          <w:vertAlign w:val="subscript"/>
        </w:rPr>
        <w:t>trend</w:t>
      </w:r>
      <w:r w:rsidR="00570F8E" w:rsidRPr="00570F8E">
        <w:t xml:space="preserve"> &lt; 0.001) and 10.89 (95% CI 7.66 – 15.48; </w:t>
      </w:r>
      <w:r w:rsidR="00570F8E" w:rsidRPr="00570F8E">
        <w:rPr>
          <w:i/>
          <w:iCs/>
        </w:rPr>
        <w:t>P</w:t>
      </w:r>
      <w:r w:rsidR="00570F8E" w:rsidRPr="00570F8E">
        <w:rPr>
          <w:vertAlign w:val="subscript"/>
        </w:rPr>
        <w:t>trend</w:t>
      </w:r>
      <w:r w:rsidR="00570F8E" w:rsidRPr="00570F8E">
        <w:t xml:space="preserve"> = 0.001), respectively. The area under the curves (AUC) for the TyG-index to predict MAFLD was 8.62, resulting in a cut-off value of 8.62 with a sensitivity of 81.66% and specificity of 75.36%. </w:t>
      </w:r>
      <w:r w:rsidRPr="00B86DFB">
        <w:rPr>
          <w:b/>
          <w:bCs/>
        </w:rPr>
        <w:t>Conclusion &amp; Significance:</w:t>
      </w:r>
      <w:r>
        <w:t xml:space="preserve"> </w:t>
      </w:r>
      <w:r w:rsidR="00570F8E" w:rsidRPr="00570F8E">
        <w:t>The higher TyG and TyG-ALT scores were significantly positively associated with higher MAFLD risk in the Iranian population.</w:t>
      </w:r>
    </w:p>
    <w:p w:rsidR="00AE3E37" w:rsidRDefault="00A9710C" w:rsidP="00570F8E">
      <w:pPr>
        <w:pStyle w:val="BodyText"/>
        <w:spacing w:before="90" w:line="280" w:lineRule="auto"/>
        <w:ind w:left="100"/>
        <w:jc w:val="both"/>
      </w:pPr>
      <w:r>
        <w:br w:type="column"/>
      </w:r>
      <w:r>
        <w:rPr>
          <w:color w:val="BF5A14"/>
        </w:rPr>
        <w:lastRenderedPageBreak/>
        <w:t>Image</w:t>
      </w:r>
    </w:p>
    <w:p w:rsidR="00AE3E37" w:rsidRDefault="00AE3E37">
      <w:pPr>
        <w:pStyle w:val="BodyText"/>
        <w:spacing w:before="2"/>
        <w:rPr>
          <w:rFonts w:ascii="Arial"/>
          <w:b/>
          <w:sz w:val="16"/>
        </w:rPr>
      </w:pPr>
    </w:p>
    <w:p w:rsidR="005973B9" w:rsidRDefault="005973B9" w:rsidP="005973B9">
      <w:pPr>
        <w:spacing w:line="204" w:lineRule="exact"/>
        <w:rPr>
          <w:rFonts w:ascii="Arial"/>
          <w:b/>
          <w:color w:val="BF5A14"/>
          <w:sz w:val="20"/>
        </w:rPr>
      </w:pPr>
      <w:r>
        <w:rPr>
          <w:rFonts w:ascii="Arial"/>
          <w:b/>
          <w:color w:val="BF5A14"/>
          <w:sz w:val="20"/>
        </w:rPr>
        <w:br/>
        <w:t>Recent Publications (minimum 5)</w:t>
      </w:r>
    </w:p>
    <w:p w:rsidR="00570F8E" w:rsidRDefault="00570F8E" w:rsidP="005973B9">
      <w:pPr>
        <w:spacing w:line="204" w:lineRule="exact"/>
        <w:rPr>
          <w:rFonts w:ascii="Arial"/>
          <w:b/>
          <w:sz w:val="20"/>
        </w:rPr>
      </w:pPr>
    </w:p>
    <w:p w:rsidR="00570F8E" w:rsidRPr="00570F8E" w:rsidRDefault="00570F8E" w:rsidP="003348DF">
      <w:pPr>
        <w:numPr>
          <w:ilvl w:val="0"/>
          <w:numId w:val="4"/>
        </w:numPr>
        <w:tabs>
          <w:tab w:val="clear" w:pos="3780"/>
          <w:tab w:val="num" w:pos="450"/>
          <w:tab w:val="left" w:pos="540"/>
        </w:tabs>
        <w:ind w:left="450" w:right="117" w:hanging="3780"/>
        <w:jc w:val="both"/>
        <w:rPr>
          <w:rFonts w:ascii="Calibri" w:eastAsia="Calibri" w:hAnsi="Calibri" w:cs="Calibri"/>
          <w:sz w:val="18"/>
        </w:rPr>
      </w:pPr>
      <w:r w:rsidRPr="00570F8E">
        <w:rPr>
          <w:rFonts w:ascii="Calibri" w:eastAsia="Calibri" w:hAnsi="Calibri" w:cs="Calibri"/>
          <w:sz w:val="18"/>
        </w:rPr>
        <w:t>1. The Triglyceride-Glucose Index as a Clinical Useful Marker for Metabolic Associated Fatty Liver Disease (MAFLD): A Population-Based Study among Iranian Adults. Journal of Diabetes and Metabolic Disorders 2021 (in press)</w:t>
      </w:r>
    </w:p>
    <w:p w:rsidR="00570F8E" w:rsidRPr="00570F8E" w:rsidRDefault="00570F8E" w:rsidP="003348DF">
      <w:pPr>
        <w:numPr>
          <w:ilvl w:val="0"/>
          <w:numId w:val="4"/>
        </w:numPr>
        <w:tabs>
          <w:tab w:val="clear" w:pos="3780"/>
          <w:tab w:val="left" w:pos="450"/>
          <w:tab w:val="num" w:pos="900"/>
        </w:tabs>
        <w:ind w:left="450" w:right="117" w:hanging="1980"/>
        <w:jc w:val="both"/>
        <w:rPr>
          <w:rFonts w:ascii="Calibri" w:eastAsia="Calibri" w:hAnsi="Calibri" w:cs="Calibri"/>
          <w:sz w:val="18"/>
        </w:rPr>
      </w:pPr>
      <w:r w:rsidRPr="00570F8E">
        <w:rPr>
          <w:rFonts w:ascii="Calibri" w:eastAsia="Calibri" w:hAnsi="Calibri" w:cs="Calibri"/>
          <w:sz w:val="18"/>
        </w:rPr>
        <w:t>2. Dietary and Lifestyle Inflammation Scores Inversely Associated with Metabolic-associated Fatty Liver Disease (MAFLD) among Iranian Adults: A Nested Case-Control Study. The Journal of Nutrition 2021</w:t>
      </w:r>
    </w:p>
    <w:p w:rsidR="00570F8E" w:rsidRPr="00570F8E" w:rsidRDefault="00570F8E" w:rsidP="003348DF">
      <w:pPr>
        <w:tabs>
          <w:tab w:val="left" w:pos="384"/>
        </w:tabs>
        <w:ind w:left="450" w:right="117"/>
        <w:jc w:val="both"/>
        <w:rPr>
          <w:rFonts w:ascii="Calibri" w:eastAsia="Calibri" w:hAnsi="Calibri" w:cs="Calibri"/>
          <w:sz w:val="18"/>
        </w:rPr>
      </w:pPr>
      <w:r w:rsidRPr="00570F8E">
        <w:rPr>
          <w:rFonts w:ascii="Calibri" w:eastAsia="Calibri" w:hAnsi="Calibri" w:cs="Calibri"/>
          <w:sz w:val="18"/>
        </w:rPr>
        <w:t>3. A meta-analysis of dietary inflammatory index and bone health status.  Journal of Diabetes and Metabolic Disorders 2021 (in press)</w:t>
      </w:r>
    </w:p>
    <w:p w:rsidR="00570F8E" w:rsidRPr="00570F8E" w:rsidRDefault="00570F8E" w:rsidP="003348DF">
      <w:pPr>
        <w:tabs>
          <w:tab w:val="left" w:pos="384"/>
        </w:tabs>
        <w:ind w:left="450" w:right="117"/>
        <w:jc w:val="both"/>
        <w:rPr>
          <w:rFonts w:ascii="Calibri" w:eastAsia="Calibri" w:hAnsi="Calibri" w:cs="Calibri"/>
          <w:sz w:val="18"/>
        </w:rPr>
      </w:pPr>
      <w:r w:rsidRPr="00570F8E">
        <w:rPr>
          <w:rFonts w:ascii="Calibri" w:eastAsia="Calibri" w:hAnsi="Calibri" w:cs="Calibri"/>
          <w:sz w:val="18"/>
        </w:rPr>
        <w:t>4. A comprehensive insight into effects of green tea extract in polycystic ovary syndrome: a systematic review. Reprod Biol Endocrinol 2021;19:147.</w:t>
      </w:r>
    </w:p>
    <w:p w:rsidR="00570F8E" w:rsidRPr="00570F8E" w:rsidRDefault="00570F8E" w:rsidP="003348DF">
      <w:pPr>
        <w:tabs>
          <w:tab w:val="left" w:pos="384"/>
        </w:tabs>
        <w:ind w:left="450" w:right="117"/>
        <w:jc w:val="both"/>
        <w:rPr>
          <w:rFonts w:ascii="Calibri" w:eastAsia="Calibri" w:hAnsi="Calibri" w:cs="Calibri"/>
          <w:sz w:val="18"/>
        </w:rPr>
      </w:pPr>
      <w:r w:rsidRPr="00570F8E">
        <w:rPr>
          <w:rFonts w:ascii="Calibri" w:eastAsia="Calibri" w:hAnsi="Calibri" w:cs="Calibri"/>
          <w:sz w:val="18"/>
        </w:rPr>
        <w:t>5. A comprehensive insight into potential roles of Nigella sativa on diseases by targeting AMP-activated protein kinase: a review. DARU Journal of Pharmaceutical Sciences https://doi.org/10.1007/s40199-020-00376-3.</w:t>
      </w:r>
    </w:p>
    <w:p w:rsidR="00AE3E37" w:rsidRPr="008756E6" w:rsidRDefault="00AE3E37" w:rsidP="003348DF">
      <w:pPr>
        <w:tabs>
          <w:tab w:val="left" w:pos="384"/>
        </w:tabs>
        <w:ind w:right="117"/>
        <w:jc w:val="both"/>
      </w:pP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375940">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375940" w:rsidP="00404E5B">
      <w:pPr>
        <w:spacing w:before="92"/>
        <w:ind w:right="4234"/>
        <w:rPr>
          <w:rFonts w:ascii="Arial"/>
        </w:rPr>
      </w:pPr>
      <w:r w:rsidRPr="00375940">
        <w:rPr>
          <w:rFonts w:ascii="Times New Roman" w:hAnsi="Times New Roman" w:cs="Times New Roman"/>
          <w:noProof/>
          <w:sz w:val="24"/>
          <w:szCs w:val="24"/>
        </w:rPr>
        <w:pict>
          <v:roundrect id="Rounded Rectangle 2" o:spid="_x0000_s1029" style="position:absolute;margin-left:445.35pt;margin-top:4.45pt;width:79.7pt;height:44.9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w:r>
      <w:r w:rsidR="008756E6">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045CA3" w:rsidRDefault="00045CA3" w:rsidP="00403420">
      <w:pPr>
        <w:spacing w:before="62"/>
        <w:ind w:left="990" w:right="4235"/>
        <w:rPr>
          <w:rFonts w:ascii="Arial"/>
          <w:sz w:val="14"/>
        </w:rPr>
      </w:pPr>
      <w:r>
        <w:rPr>
          <w:rFonts w:ascii="Arial"/>
          <w:sz w:val="14"/>
        </w:rPr>
        <w:t xml:space="preserve">Ehsaneh Taheri </w:t>
      </w:r>
      <w:r w:rsidR="008C0B7B">
        <w:rPr>
          <w:rFonts w:ascii="Arial"/>
          <w:sz w:val="14"/>
        </w:rPr>
        <w:t xml:space="preserve">comes from Iran. She is PhD in nutrition science and </w:t>
      </w:r>
      <w:r>
        <w:rPr>
          <w:rFonts w:ascii="Arial"/>
          <w:sz w:val="14"/>
        </w:rPr>
        <w:t>gra</w:t>
      </w:r>
      <w:r w:rsidR="008C0B7B">
        <w:rPr>
          <w:rFonts w:ascii="Arial"/>
          <w:sz w:val="14"/>
        </w:rPr>
        <w:t xml:space="preserve">duated from Shahid Beheshti University of Medical Sciences. </w:t>
      </w:r>
      <w:r w:rsidR="00403420">
        <w:rPr>
          <w:rFonts w:ascii="Arial"/>
          <w:sz w:val="14"/>
        </w:rPr>
        <w:t>She has conducted several projects and published articles in the field of nutrition and endocrine disorders, especially diabetes, obesity and NAFLD/MAFLD.</w:t>
      </w:r>
    </w:p>
    <w:p w:rsidR="00AE3E37" w:rsidRDefault="00A9710C" w:rsidP="00045CA3">
      <w:pPr>
        <w:spacing w:before="62"/>
        <w:ind w:left="4217" w:right="4235"/>
        <w:jc w:val="center"/>
        <w:rPr>
          <w:rFonts w:ascii="Arial"/>
          <w:sz w:val="14"/>
        </w:rPr>
      </w:pPr>
      <w:r>
        <w:rPr>
          <w:rFonts w:ascii="Arial"/>
          <w:sz w:val="14"/>
        </w:rPr>
        <w:t xml:space="preserve">Email: </w:t>
      </w:r>
      <w:hyperlink r:id="rId9" w:history="1">
        <w:r w:rsidR="00045CA3">
          <w:rPr>
            <w:rStyle w:val="Hyperlink"/>
            <w:rFonts w:ascii="Arial"/>
            <w:sz w:val="14"/>
          </w:rPr>
          <w:t>ehsaneh_taheri@yahoo.com</w:t>
        </w:r>
      </w:hyperlink>
    </w:p>
    <w:p w:rsidR="00AE3E37" w:rsidRDefault="00375940">
      <w:pPr>
        <w:pStyle w:val="BodyText"/>
        <w:spacing w:before="2"/>
        <w:rPr>
          <w:rFonts w:ascii="Arial"/>
          <w:sz w:val="19"/>
        </w:rPr>
      </w:pPr>
      <w:r w:rsidRPr="00375940">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r w:rsidRPr="00F35A62">
        <w:rPr>
          <w:sz w:val="20"/>
          <w:szCs w:val="20"/>
          <w:lang w:val="en-NZ"/>
        </w:rPr>
        <w:br/>
        <w:t>Twitter account:</w:t>
      </w:r>
      <w:r w:rsidRPr="00F35A62">
        <w:rPr>
          <w:sz w:val="20"/>
          <w:szCs w:val="20"/>
          <w:lang w:val="en-NZ"/>
        </w:rPr>
        <w:br/>
        <w:t>Linked In account:</w:t>
      </w:r>
    </w:p>
    <w:p w:rsidR="00EA7D51" w:rsidRPr="00045CA3" w:rsidRDefault="00EA7D51" w:rsidP="00B562A9">
      <w:pPr>
        <w:autoSpaceDE w:val="0"/>
        <w:autoSpaceDN w:val="0"/>
        <w:adjustRightInd w:val="0"/>
        <w:rPr>
          <w:sz w:val="20"/>
          <w:szCs w:val="20"/>
          <w:lang w:val="en-NZ"/>
        </w:rPr>
        <w:sectPr w:rsidR="00EA7D51" w:rsidRPr="00045CA3"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presentation)</w:t>
      </w:r>
      <w:bookmarkStart w:id="0" w:name="_GoBack"/>
      <w:bookmarkEnd w:id="0"/>
      <w:r w:rsidR="00045CA3">
        <w:rPr>
          <w:sz w:val="20"/>
          <w:szCs w:val="20"/>
          <w:lang w:val="en-NZ"/>
        </w:rPr>
        <w:t xml:space="preserve">: </w:t>
      </w:r>
      <w:r w:rsidR="00B562A9">
        <w:rPr>
          <w:sz w:val="20"/>
          <w:szCs w:val="20"/>
          <w:lang w:val="en-NZ"/>
        </w:rPr>
        <w:t>Oral Presentation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3FF7" w:rsidRDefault="00613FF7">
      <w:r>
        <w:separator/>
      </w:r>
    </w:p>
  </w:endnote>
  <w:endnote w:type="continuationSeparator" w:id="1">
    <w:p w:rsidR="00613FF7" w:rsidRDefault="00613FF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A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75940">
    <w:pPr>
      <w:pStyle w:val="BodyText"/>
      <w:spacing w:line="14" w:lineRule="auto"/>
      <w:rPr>
        <w:sz w:val="20"/>
      </w:rPr>
    </w:pPr>
    <w:r w:rsidRPr="00375940">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375940">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75940">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3FF7" w:rsidRDefault="00613FF7">
      <w:r>
        <w:separator/>
      </w:r>
    </w:p>
  </w:footnote>
  <w:footnote w:type="continuationSeparator" w:id="1">
    <w:p w:rsidR="00613FF7" w:rsidRDefault="00613FF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F736CF7"/>
    <w:multiLevelType w:val="hybridMultilevel"/>
    <w:tmpl w:val="DC6E27C2"/>
    <w:lvl w:ilvl="0" w:tplc="8DBE503C">
      <w:start w:val="1"/>
      <w:numFmt w:val="decimal"/>
      <w:lvlText w:val="%1."/>
      <w:lvlJc w:val="left"/>
      <w:pPr>
        <w:tabs>
          <w:tab w:val="num" w:pos="3780"/>
        </w:tabs>
        <w:ind w:left="3780" w:hanging="360"/>
      </w:pPr>
      <w:rPr>
        <w:sz w:val="22"/>
        <w:szCs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45CA3"/>
    <w:rsid w:val="000534A1"/>
    <w:rsid w:val="0006797A"/>
    <w:rsid w:val="000B4CAA"/>
    <w:rsid w:val="000E2911"/>
    <w:rsid w:val="001263DF"/>
    <w:rsid w:val="00292ED9"/>
    <w:rsid w:val="003348DF"/>
    <w:rsid w:val="00351D9B"/>
    <w:rsid w:val="00375940"/>
    <w:rsid w:val="00375E9A"/>
    <w:rsid w:val="00380299"/>
    <w:rsid w:val="00403420"/>
    <w:rsid w:val="00404E5B"/>
    <w:rsid w:val="00414F7B"/>
    <w:rsid w:val="004355DC"/>
    <w:rsid w:val="004749B4"/>
    <w:rsid w:val="00475D20"/>
    <w:rsid w:val="00494130"/>
    <w:rsid w:val="004F3523"/>
    <w:rsid w:val="00570F8E"/>
    <w:rsid w:val="00590D60"/>
    <w:rsid w:val="005973B9"/>
    <w:rsid w:val="005B3A56"/>
    <w:rsid w:val="006060CE"/>
    <w:rsid w:val="00613FF7"/>
    <w:rsid w:val="0061505C"/>
    <w:rsid w:val="0063497F"/>
    <w:rsid w:val="00714354"/>
    <w:rsid w:val="007B4AE9"/>
    <w:rsid w:val="00873DF0"/>
    <w:rsid w:val="008756E6"/>
    <w:rsid w:val="00897EC5"/>
    <w:rsid w:val="008A0763"/>
    <w:rsid w:val="008C0B7B"/>
    <w:rsid w:val="008E5477"/>
    <w:rsid w:val="009B2D44"/>
    <w:rsid w:val="00A07E82"/>
    <w:rsid w:val="00A52075"/>
    <w:rsid w:val="00A9710C"/>
    <w:rsid w:val="00AE3E37"/>
    <w:rsid w:val="00B21A57"/>
    <w:rsid w:val="00B562A9"/>
    <w:rsid w:val="00B86DFB"/>
    <w:rsid w:val="00BE6743"/>
    <w:rsid w:val="00C33602"/>
    <w:rsid w:val="00C56C74"/>
    <w:rsid w:val="00CD6F55"/>
    <w:rsid w:val="00DA03FA"/>
    <w:rsid w:val="00DE3104"/>
    <w:rsid w:val="00DE6170"/>
    <w:rsid w:val="00DE6CFF"/>
    <w:rsid w:val="00E30AAC"/>
    <w:rsid w:val="00E95D97"/>
    <w:rsid w:val="00EA7D51"/>
    <w:rsid w:val="00EF09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rXXXXXXX@xxx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Sony</cp:lastModifiedBy>
  <cp:revision>9</cp:revision>
  <dcterms:created xsi:type="dcterms:W3CDTF">2021-11-26T09:13:00Z</dcterms:created>
  <dcterms:modified xsi:type="dcterms:W3CDTF">2021-12-20T16:01:00Z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