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706" w:rsidRDefault="00BC5706" w:rsidP="00BC5706">
      <w:pPr>
        <w:jc w:val="right"/>
        <w:rPr>
          <w:rFonts w:asciiTheme="majorBidi" w:hAnsiTheme="majorBidi" w:cstheme="majorBidi"/>
          <w:sz w:val="28"/>
          <w:szCs w:val="28"/>
        </w:rPr>
      </w:pPr>
      <w:bookmarkStart w:id="0" w:name="_GoBack"/>
      <w:bookmarkEnd w:id="0"/>
      <w:r>
        <w:rPr>
          <w:rFonts w:asciiTheme="majorBidi" w:hAnsiTheme="majorBidi" w:cstheme="majorBidi"/>
          <w:noProof/>
          <w:sz w:val="28"/>
          <w:szCs w:val="28"/>
        </w:rPr>
        <w:drawing>
          <wp:inline distT="0" distB="0" distL="0" distR="0" wp14:anchorId="332FE4D6">
            <wp:extent cx="1131905"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1688" cy="1161827"/>
                    </a:xfrm>
                    <a:prstGeom prst="rect">
                      <a:avLst/>
                    </a:prstGeom>
                    <a:noFill/>
                  </pic:spPr>
                </pic:pic>
              </a:graphicData>
            </a:graphic>
          </wp:inline>
        </w:drawing>
      </w:r>
    </w:p>
    <w:p w:rsidR="005D65A0" w:rsidRPr="008003A0" w:rsidRDefault="002A7E7C" w:rsidP="00BC5706">
      <w:pPr>
        <w:jc w:val="center"/>
        <w:rPr>
          <w:rFonts w:asciiTheme="majorBidi" w:hAnsiTheme="majorBidi" w:cstheme="majorBidi"/>
          <w:sz w:val="28"/>
          <w:szCs w:val="28"/>
        </w:rPr>
      </w:pPr>
      <w:r w:rsidRPr="008003A0">
        <w:rPr>
          <w:rFonts w:asciiTheme="majorBidi" w:hAnsiTheme="majorBidi" w:cstheme="majorBidi"/>
          <w:sz w:val="28"/>
          <w:szCs w:val="28"/>
        </w:rPr>
        <w:t xml:space="preserve">Recent and advanced therapeutic and diagnostic strategies for type 2 diabetes </w:t>
      </w:r>
      <w:r w:rsidR="005D65A0" w:rsidRPr="008003A0">
        <w:rPr>
          <w:rFonts w:asciiTheme="majorBidi" w:hAnsiTheme="majorBidi" w:cstheme="majorBidi"/>
          <w:sz w:val="28"/>
          <w:szCs w:val="28"/>
        </w:rPr>
        <w:t xml:space="preserve">and gene therapy approach </w:t>
      </w:r>
      <w:r w:rsidRPr="008003A0">
        <w:rPr>
          <w:rFonts w:asciiTheme="majorBidi" w:hAnsiTheme="majorBidi" w:cstheme="majorBidi"/>
          <w:sz w:val="28"/>
          <w:szCs w:val="28"/>
        </w:rPr>
        <w:t xml:space="preserve">as ultimate </w:t>
      </w:r>
      <w:r w:rsidR="005D65A0" w:rsidRPr="008003A0">
        <w:rPr>
          <w:rFonts w:asciiTheme="majorBidi" w:hAnsiTheme="majorBidi" w:cstheme="majorBidi"/>
          <w:sz w:val="28"/>
          <w:szCs w:val="28"/>
        </w:rPr>
        <w:t>type 2 diabetes</w:t>
      </w:r>
      <w:r w:rsidRPr="008003A0">
        <w:rPr>
          <w:rFonts w:asciiTheme="majorBidi" w:hAnsiTheme="majorBidi" w:cstheme="majorBidi"/>
          <w:sz w:val="28"/>
          <w:szCs w:val="28"/>
        </w:rPr>
        <w:t xml:space="preserve"> treatment</w:t>
      </w:r>
    </w:p>
    <w:p w:rsidR="005D65A0" w:rsidRPr="008003A0" w:rsidRDefault="005D65A0" w:rsidP="008003A0">
      <w:pPr>
        <w:jc w:val="center"/>
        <w:rPr>
          <w:rFonts w:asciiTheme="majorBidi" w:hAnsiTheme="majorBidi" w:cstheme="majorBidi"/>
          <w:sz w:val="24"/>
          <w:szCs w:val="24"/>
        </w:rPr>
      </w:pPr>
      <w:proofErr w:type="spellStart"/>
      <w:r w:rsidRPr="008003A0">
        <w:rPr>
          <w:rFonts w:asciiTheme="majorBidi" w:hAnsiTheme="majorBidi" w:cstheme="majorBidi"/>
          <w:sz w:val="24"/>
          <w:szCs w:val="24"/>
        </w:rPr>
        <w:t>Rasoul</w:t>
      </w:r>
      <w:proofErr w:type="spellEnd"/>
      <w:r w:rsidRPr="008003A0">
        <w:rPr>
          <w:rFonts w:asciiTheme="majorBidi" w:hAnsiTheme="majorBidi" w:cstheme="majorBidi"/>
          <w:sz w:val="24"/>
          <w:szCs w:val="24"/>
        </w:rPr>
        <w:t xml:space="preserve"> </w:t>
      </w:r>
      <w:proofErr w:type="spellStart"/>
      <w:r w:rsidRPr="008003A0">
        <w:rPr>
          <w:rFonts w:asciiTheme="majorBidi" w:hAnsiTheme="majorBidi" w:cstheme="majorBidi"/>
          <w:sz w:val="24"/>
          <w:szCs w:val="24"/>
        </w:rPr>
        <w:t>Salehi</w:t>
      </w:r>
      <w:proofErr w:type="spellEnd"/>
      <w:r w:rsidRPr="008003A0">
        <w:rPr>
          <w:rFonts w:asciiTheme="majorBidi" w:hAnsiTheme="majorBidi" w:cstheme="majorBidi"/>
          <w:sz w:val="24"/>
          <w:szCs w:val="24"/>
        </w:rPr>
        <w:t xml:space="preserve">, Ahmad Raza </w:t>
      </w:r>
      <w:proofErr w:type="spellStart"/>
      <w:r w:rsidRPr="008003A0">
        <w:rPr>
          <w:rFonts w:asciiTheme="majorBidi" w:hAnsiTheme="majorBidi" w:cstheme="majorBidi"/>
          <w:sz w:val="24"/>
          <w:szCs w:val="24"/>
        </w:rPr>
        <w:t>Salehi</w:t>
      </w:r>
      <w:proofErr w:type="spellEnd"/>
      <w:r w:rsidRPr="008003A0">
        <w:rPr>
          <w:rFonts w:asciiTheme="majorBidi" w:hAnsiTheme="majorBidi" w:cstheme="majorBidi"/>
          <w:sz w:val="24"/>
          <w:szCs w:val="24"/>
        </w:rPr>
        <w:t xml:space="preserve">, </w:t>
      </w:r>
      <w:proofErr w:type="spellStart"/>
      <w:r w:rsidR="002A7E7C" w:rsidRPr="008003A0">
        <w:rPr>
          <w:rFonts w:asciiTheme="majorBidi" w:hAnsiTheme="majorBidi" w:cstheme="majorBidi"/>
          <w:sz w:val="24"/>
          <w:szCs w:val="24"/>
        </w:rPr>
        <w:t>Moosa</w:t>
      </w:r>
      <w:proofErr w:type="spellEnd"/>
      <w:r w:rsidR="002A7E7C" w:rsidRPr="008003A0">
        <w:rPr>
          <w:rFonts w:asciiTheme="majorBidi" w:hAnsiTheme="majorBidi" w:cstheme="majorBidi"/>
          <w:sz w:val="24"/>
          <w:szCs w:val="24"/>
        </w:rPr>
        <w:t xml:space="preserve"> </w:t>
      </w:r>
      <w:proofErr w:type="spellStart"/>
      <w:r w:rsidR="002A7E7C" w:rsidRPr="008003A0">
        <w:rPr>
          <w:rFonts w:asciiTheme="majorBidi" w:hAnsiTheme="majorBidi" w:cstheme="majorBidi"/>
          <w:sz w:val="24"/>
          <w:szCs w:val="24"/>
        </w:rPr>
        <w:t>Rahimi</w:t>
      </w:r>
      <w:proofErr w:type="spellEnd"/>
      <w:r w:rsidR="002A7E7C" w:rsidRPr="008003A0">
        <w:rPr>
          <w:rFonts w:asciiTheme="majorBidi" w:hAnsiTheme="majorBidi" w:cstheme="majorBidi"/>
          <w:sz w:val="24"/>
          <w:szCs w:val="24"/>
        </w:rPr>
        <w:t xml:space="preserve">, </w:t>
      </w:r>
      <w:proofErr w:type="spellStart"/>
      <w:r w:rsidRPr="008003A0">
        <w:rPr>
          <w:rFonts w:asciiTheme="majorBidi" w:hAnsiTheme="majorBidi" w:cstheme="majorBidi"/>
          <w:sz w:val="24"/>
          <w:szCs w:val="24"/>
        </w:rPr>
        <w:t>Nasimeh</w:t>
      </w:r>
      <w:proofErr w:type="spellEnd"/>
      <w:r w:rsidRPr="008003A0">
        <w:rPr>
          <w:rFonts w:asciiTheme="majorBidi" w:hAnsiTheme="majorBidi" w:cstheme="majorBidi"/>
          <w:sz w:val="24"/>
          <w:szCs w:val="24"/>
        </w:rPr>
        <w:t xml:space="preserve"> </w:t>
      </w:r>
      <w:proofErr w:type="spellStart"/>
      <w:r w:rsidRPr="008003A0">
        <w:rPr>
          <w:rFonts w:asciiTheme="majorBidi" w:hAnsiTheme="majorBidi" w:cstheme="majorBidi"/>
          <w:sz w:val="24"/>
          <w:szCs w:val="24"/>
        </w:rPr>
        <w:t>Vatandoust</w:t>
      </w:r>
      <w:proofErr w:type="spellEnd"/>
      <w:r w:rsidRPr="008003A0">
        <w:rPr>
          <w:rFonts w:asciiTheme="majorBidi" w:hAnsiTheme="majorBidi" w:cstheme="majorBidi"/>
          <w:sz w:val="24"/>
          <w:szCs w:val="24"/>
        </w:rPr>
        <w:t xml:space="preserve">, </w:t>
      </w:r>
      <w:proofErr w:type="spellStart"/>
      <w:r w:rsidRPr="008003A0">
        <w:rPr>
          <w:rFonts w:asciiTheme="majorBidi" w:hAnsiTheme="majorBidi" w:cstheme="majorBidi"/>
          <w:sz w:val="24"/>
          <w:szCs w:val="24"/>
        </w:rPr>
        <w:t>Sedigheh</w:t>
      </w:r>
      <w:proofErr w:type="spellEnd"/>
      <w:r w:rsidRPr="008003A0">
        <w:rPr>
          <w:rFonts w:asciiTheme="majorBidi" w:hAnsiTheme="majorBidi" w:cstheme="majorBidi"/>
          <w:sz w:val="24"/>
          <w:szCs w:val="24"/>
        </w:rPr>
        <w:t xml:space="preserve"> </w:t>
      </w:r>
      <w:proofErr w:type="spellStart"/>
      <w:r w:rsidRPr="008003A0">
        <w:rPr>
          <w:rFonts w:asciiTheme="majorBidi" w:hAnsiTheme="majorBidi" w:cstheme="majorBidi"/>
          <w:sz w:val="24"/>
          <w:szCs w:val="24"/>
        </w:rPr>
        <w:t>Momenzadeh</w:t>
      </w:r>
      <w:proofErr w:type="spellEnd"/>
    </w:p>
    <w:p w:rsidR="005D65A0" w:rsidRPr="008003A0" w:rsidRDefault="005D65A0" w:rsidP="008003A0">
      <w:pPr>
        <w:jc w:val="center"/>
        <w:rPr>
          <w:rFonts w:asciiTheme="majorBidi" w:hAnsiTheme="majorBidi" w:cstheme="majorBidi"/>
          <w:sz w:val="24"/>
          <w:szCs w:val="24"/>
        </w:rPr>
      </w:pPr>
      <w:r w:rsidRPr="008003A0">
        <w:rPr>
          <w:rFonts w:asciiTheme="majorBidi" w:hAnsiTheme="majorBidi" w:cstheme="majorBidi"/>
          <w:sz w:val="24"/>
          <w:szCs w:val="24"/>
        </w:rPr>
        <w:t xml:space="preserve">Department of Genetics and Molecular Biology, School of Medicine, Isfahan University of </w:t>
      </w:r>
      <w:r w:rsidR="008003A0">
        <w:rPr>
          <w:rFonts w:asciiTheme="majorBidi" w:hAnsiTheme="majorBidi" w:cstheme="majorBidi"/>
          <w:sz w:val="24"/>
          <w:szCs w:val="24"/>
        </w:rPr>
        <w:t>Medical Sciences, Isfahan, Iran</w:t>
      </w:r>
    </w:p>
    <w:p w:rsidR="005D65A0" w:rsidRPr="008003A0" w:rsidRDefault="008003A0" w:rsidP="008003A0">
      <w:pPr>
        <w:jc w:val="both"/>
        <w:rPr>
          <w:rFonts w:asciiTheme="majorBidi" w:hAnsiTheme="majorBidi" w:cstheme="majorBidi"/>
          <w:sz w:val="24"/>
          <w:szCs w:val="24"/>
        </w:rPr>
      </w:pPr>
      <w:r>
        <w:rPr>
          <w:rFonts w:asciiTheme="majorBidi" w:hAnsiTheme="majorBidi" w:cstheme="majorBidi"/>
          <w:sz w:val="24"/>
          <w:szCs w:val="24"/>
        </w:rPr>
        <w:t xml:space="preserve">          </w:t>
      </w:r>
      <w:r w:rsidR="005D65A0" w:rsidRPr="008003A0">
        <w:rPr>
          <w:rFonts w:asciiTheme="majorBidi" w:hAnsiTheme="majorBidi" w:cstheme="majorBidi"/>
          <w:sz w:val="24"/>
          <w:szCs w:val="24"/>
        </w:rPr>
        <w:t xml:space="preserve">It has now become obvious that the pathophysiological defects leading to type 2 diabetes (T2D) is much more complex than thought before. Insulin resistance is an early event in the course of T2D development. The transition from </w:t>
      </w:r>
      <w:proofErr w:type="spellStart"/>
      <w:r w:rsidR="005D65A0" w:rsidRPr="008003A0">
        <w:rPr>
          <w:rFonts w:asciiTheme="majorBidi" w:hAnsiTheme="majorBidi" w:cstheme="majorBidi"/>
          <w:sz w:val="24"/>
          <w:szCs w:val="24"/>
        </w:rPr>
        <w:t>normoglycemy</w:t>
      </w:r>
      <w:proofErr w:type="spellEnd"/>
      <w:r w:rsidR="005D65A0" w:rsidRPr="008003A0">
        <w:rPr>
          <w:rFonts w:asciiTheme="majorBidi" w:hAnsiTheme="majorBidi" w:cstheme="majorBidi"/>
          <w:sz w:val="24"/>
          <w:szCs w:val="24"/>
        </w:rPr>
        <w:t xml:space="preserve"> to prediabetes is usually a gradual phenomenon that occurs over 5-10 years during which the disease remains undetected. Among the routinely practiced T2D screening criteria, like FPG, IFG, IGT or HbA1c, still the issue of a preferable one is debated.  Here I present more precise noninvasive </w:t>
      </w:r>
      <w:proofErr w:type="spellStart"/>
      <w:r w:rsidR="005D65A0" w:rsidRPr="008003A0">
        <w:rPr>
          <w:rFonts w:asciiTheme="majorBidi" w:hAnsiTheme="majorBidi" w:cstheme="majorBidi"/>
          <w:sz w:val="24"/>
          <w:szCs w:val="24"/>
        </w:rPr>
        <w:t>presymptomatic</w:t>
      </w:r>
      <w:proofErr w:type="spellEnd"/>
      <w:r w:rsidR="005D65A0" w:rsidRPr="008003A0">
        <w:rPr>
          <w:rFonts w:asciiTheme="majorBidi" w:hAnsiTheme="majorBidi" w:cstheme="majorBidi"/>
          <w:sz w:val="24"/>
          <w:szCs w:val="24"/>
        </w:rPr>
        <w:t xml:space="preserve"> diagnosis and risk assessment strategies including noncoding RNAs signature in peripheral blood.</w:t>
      </w:r>
    </w:p>
    <w:p w:rsidR="005D65A0" w:rsidRPr="008003A0" w:rsidRDefault="005D65A0" w:rsidP="008003A0">
      <w:pPr>
        <w:jc w:val="both"/>
        <w:rPr>
          <w:rFonts w:asciiTheme="majorBidi" w:hAnsiTheme="majorBidi" w:cstheme="majorBidi"/>
          <w:sz w:val="24"/>
          <w:szCs w:val="24"/>
        </w:rPr>
      </w:pPr>
      <w:r w:rsidRPr="008003A0">
        <w:rPr>
          <w:rFonts w:asciiTheme="majorBidi" w:hAnsiTheme="majorBidi" w:cstheme="majorBidi"/>
          <w:sz w:val="24"/>
          <w:szCs w:val="24"/>
        </w:rPr>
        <w:t xml:space="preserve"> Life style changes with addition of metformin, </w:t>
      </w:r>
      <w:proofErr w:type="spellStart"/>
      <w:r w:rsidRPr="008003A0">
        <w:rPr>
          <w:rFonts w:asciiTheme="majorBidi" w:hAnsiTheme="majorBidi" w:cstheme="majorBidi"/>
          <w:sz w:val="24"/>
          <w:szCs w:val="24"/>
        </w:rPr>
        <w:t>sulphonylureas</w:t>
      </w:r>
      <w:proofErr w:type="spellEnd"/>
      <w:r w:rsidRPr="008003A0">
        <w:rPr>
          <w:rFonts w:asciiTheme="majorBidi" w:hAnsiTheme="majorBidi" w:cstheme="majorBidi"/>
          <w:sz w:val="24"/>
          <w:szCs w:val="24"/>
        </w:rPr>
        <w:t xml:space="preserve">, </w:t>
      </w:r>
      <w:proofErr w:type="spellStart"/>
      <w:r w:rsidRPr="008003A0">
        <w:rPr>
          <w:rFonts w:asciiTheme="majorBidi" w:hAnsiTheme="majorBidi" w:cstheme="majorBidi"/>
          <w:sz w:val="24"/>
          <w:szCs w:val="24"/>
        </w:rPr>
        <w:t>glinides</w:t>
      </w:r>
      <w:proofErr w:type="spellEnd"/>
      <w:r w:rsidRPr="008003A0">
        <w:rPr>
          <w:rFonts w:asciiTheme="majorBidi" w:hAnsiTheme="majorBidi" w:cstheme="majorBidi"/>
          <w:sz w:val="24"/>
          <w:szCs w:val="24"/>
        </w:rPr>
        <w:t xml:space="preserve">, α-glucosidase inhibitors, </w:t>
      </w:r>
      <w:proofErr w:type="spellStart"/>
      <w:r w:rsidRPr="008003A0">
        <w:rPr>
          <w:rFonts w:asciiTheme="majorBidi" w:hAnsiTheme="majorBidi" w:cstheme="majorBidi"/>
          <w:sz w:val="24"/>
          <w:szCs w:val="24"/>
        </w:rPr>
        <w:t>thiazolidinediones</w:t>
      </w:r>
      <w:proofErr w:type="spellEnd"/>
      <w:r w:rsidRPr="008003A0">
        <w:rPr>
          <w:rFonts w:asciiTheme="majorBidi" w:hAnsiTheme="majorBidi" w:cstheme="majorBidi"/>
          <w:sz w:val="24"/>
          <w:szCs w:val="24"/>
        </w:rPr>
        <w:t xml:space="preserve"> and/or exogenous insulin are recommended as the present treatment options. These treatments offer improvement in glycemic control, but in many instances produce significant adverse side effects. Various novel incretin-based therapies like prolonging GLP-1 receptor agonists action, orally GLP-1 receptor agonists, GLP-1 secretion by activating GLP-1-producing intestinal L-cells, synthetic engineered peptides as co-agonists stimulating more than one receptor, etc. are discussed here.</w:t>
      </w:r>
    </w:p>
    <w:p w:rsidR="005D65A0" w:rsidRDefault="005D65A0" w:rsidP="008003A0">
      <w:pPr>
        <w:jc w:val="both"/>
        <w:rPr>
          <w:rFonts w:asciiTheme="majorBidi" w:hAnsiTheme="majorBidi" w:cstheme="majorBidi"/>
          <w:sz w:val="24"/>
          <w:szCs w:val="24"/>
        </w:rPr>
      </w:pPr>
      <w:r w:rsidRPr="008003A0">
        <w:rPr>
          <w:rFonts w:asciiTheme="majorBidi" w:hAnsiTheme="majorBidi" w:cstheme="majorBidi"/>
          <w:sz w:val="24"/>
          <w:szCs w:val="24"/>
        </w:rPr>
        <w:t xml:space="preserve">I also present our experiences regarding development of successful gene therapy using intestinal K-cells which are specialized for GIP production. Engineering these cells to produce insulin in response to the ingested carbohydrates successfully achieved. Oral gene delivery to these cells using nanoparticles with appropriate protective coats as well as plant </w:t>
      </w:r>
      <w:proofErr w:type="spellStart"/>
      <w:r w:rsidRPr="008003A0">
        <w:rPr>
          <w:rFonts w:asciiTheme="majorBidi" w:hAnsiTheme="majorBidi" w:cstheme="majorBidi"/>
          <w:sz w:val="24"/>
          <w:szCs w:val="24"/>
        </w:rPr>
        <w:t>exosomal</w:t>
      </w:r>
      <w:proofErr w:type="spellEnd"/>
      <w:r w:rsidRPr="008003A0">
        <w:rPr>
          <w:rFonts w:asciiTheme="majorBidi" w:hAnsiTheme="majorBidi" w:cstheme="majorBidi"/>
          <w:sz w:val="24"/>
          <w:szCs w:val="24"/>
        </w:rPr>
        <w:t xml:space="preserve"> gene delivery to the stem cell precursors of K-cells located at the base of intestinal crypts resulted in long lasting insulin expression by gut K-cells and pronounced treatment of T2D.</w:t>
      </w:r>
    </w:p>
    <w:p w:rsidR="008003A0" w:rsidRPr="008003A0" w:rsidRDefault="008003A0" w:rsidP="008003A0">
      <w:pPr>
        <w:jc w:val="both"/>
        <w:rPr>
          <w:rFonts w:asciiTheme="majorBidi" w:hAnsiTheme="majorBidi" w:cstheme="majorBidi"/>
          <w:sz w:val="24"/>
          <w:szCs w:val="24"/>
        </w:rPr>
      </w:pPr>
      <w:r w:rsidRPr="008003A0">
        <w:rPr>
          <w:rFonts w:asciiTheme="majorBidi" w:hAnsiTheme="majorBidi" w:cstheme="majorBidi"/>
          <w:sz w:val="24"/>
          <w:szCs w:val="24"/>
        </w:rPr>
        <w:t>Biography</w:t>
      </w:r>
    </w:p>
    <w:p w:rsidR="008003A0" w:rsidRPr="008003A0" w:rsidRDefault="008003A0" w:rsidP="00E5059E">
      <w:pPr>
        <w:jc w:val="both"/>
        <w:rPr>
          <w:rFonts w:asciiTheme="majorBidi" w:hAnsiTheme="majorBidi" w:cstheme="majorBidi"/>
          <w:sz w:val="24"/>
          <w:szCs w:val="24"/>
        </w:rPr>
      </w:pPr>
      <w:r>
        <w:rPr>
          <w:rFonts w:asciiTheme="majorBidi" w:hAnsiTheme="majorBidi" w:cstheme="majorBidi"/>
          <w:sz w:val="24"/>
          <w:szCs w:val="24"/>
        </w:rPr>
        <w:t xml:space="preserve">Professor </w:t>
      </w:r>
      <w:proofErr w:type="spellStart"/>
      <w:r>
        <w:rPr>
          <w:rFonts w:asciiTheme="majorBidi" w:hAnsiTheme="majorBidi" w:cstheme="majorBidi"/>
          <w:sz w:val="24"/>
          <w:szCs w:val="24"/>
        </w:rPr>
        <w:t>Rasoul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Salehi</w:t>
      </w:r>
      <w:proofErr w:type="spellEnd"/>
      <w:r>
        <w:rPr>
          <w:rFonts w:asciiTheme="majorBidi" w:hAnsiTheme="majorBidi" w:cstheme="majorBidi"/>
          <w:sz w:val="24"/>
          <w:szCs w:val="24"/>
        </w:rPr>
        <w:t xml:space="preserve"> </w:t>
      </w:r>
      <w:r w:rsidR="00E5059E">
        <w:rPr>
          <w:rFonts w:asciiTheme="majorBidi" w:hAnsiTheme="majorBidi" w:cstheme="majorBidi"/>
          <w:sz w:val="24"/>
          <w:szCs w:val="24"/>
        </w:rPr>
        <w:t xml:space="preserve">has </w:t>
      </w:r>
      <w:r w:rsidR="005241F8">
        <w:rPr>
          <w:rFonts w:asciiTheme="majorBidi" w:hAnsiTheme="majorBidi" w:cstheme="majorBidi"/>
          <w:sz w:val="24"/>
          <w:szCs w:val="24"/>
        </w:rPr>
        <w:t xml:space="preserve">joined School of Medicine, Isfahan Iran </w:t>
      </w:r>
      <w:r w:rsidR="00E5059E" w:rsidRPr="00E5059E">
        <w:rPr>
          <w:rFonts w:asciiTheme="majorBidi" w:hAnsiTheme="majorBidi" w:cstheme="majorBidi"/>
          <w:sz w:val="24"/>
          <w:szCs w:val="24"/>
        </w:rPr>
        <w:t xml:space="preserve">after completion of his PhD </w:t>
      </w:r>
      <w:r w:rsidR="005241F8">
        <w:rPr>
          <w:rFonts w:asciiTheme="majorBidi" w:hAnsiTheme="majorBidi" w:cstheme="majorBidi"/>
          <w:sz w:val="24"/>
          <w:szCs w:val="24"/>
        </w:rPr>
        <w:t xml:space="preserve">and then attended </w:t>
      </w:r>
      <w:r w:rsidR="00E5059E">
        <w:rPr>
          <w:rFonts w:asciiTheme="majorBidi" w:hAnsiTheme="majorBidi" w:cstheme="majorBidi"/>
          <w:sz w:val="24"/>
          <w:szCs w:val="24"/>
        </w:rPr>
        <w:t>a</w:t>
      </w:r>
      <w:r w:rsidR="005241F8">
        <w:rPr>
          <w:rFonts w:asciiTheme="majorBidi" w:hAnsiTheme="majorBidi" w:cstheme="majorBidi"/>
          <w:sz w:val="24"/>
          <w:szCs w:val="24"/>
        </w:rPr>
        <w:t xml:space="preserve"> postdoctoral course in Belgium. </w:t>
      </w:r>
      <w:r w:rsidRPr="008003A0">
        <w:rPr>
          <w:rFonts w:asciiTheme="majorBidi" w:hAnsiTheme="majorBidi" w:cstheme="majorBidi"/>
          <w:sz w:val="24"/>
          <w:szCs w:val="24"/>
        </w:rPr>
        <w:t xml:space="preserve">He has published more than </w:t>
      </w:r>
      <w:r w:rsidR="005241F8">
        <w:rPr>
          <w:rFonts w:asciiTheme="majorBidi" w:hAnsiTheme="majorBidi" w:cstheme="majorBidi"/>
          <w:sz w:val="24"/>
          <w:szCs w:val="24"/>
        </w:rPr>
        <w:t>100</w:t>
      </w:r>
      <w:r w:rsidRPr="008003A0">
        <w:rPr>
          <w:rFonts w:asciiTheme="majorBidi" w:hAnsiTheme="majorBidi" w:cstheme="majorBidi"/>
          <w:sz w:val="24"/>
          <w:szCs w:val="24"/>
        </w:rPr>
        <w:t xml:space="preserve"> papers in reputed journals and </w:t>
      </w:r>
      <w:r w:rsidR="005241F8">
        <w:rPr>
          <w:rFonts w:asciiTheme="majorBidi" w:hAnsiTheme="majorBidi" w:cstheme="majorBidi"/>
          <w:sz w:val="24"/>
          <w:szCs w:val="24"/>
        </w:rPr>
        <w:t xml:space="preserve">is </w:t>
      </w:r>
      <w:r w:rsidRPr="008003A0">
        <w:rPr>
          <w:rFonts w:asciiTheme="majorBidi" w:hAnsiTheme="majorBidi" w:cstheme="majorBidi"/>
          <w:sz w:val="24"/>
          <w:szCs w:val="24"/>
        </w:rPr>
        <w:t xml:space="preserve">serving as an editorial board member of </w:t>
      </w:r>
      <w:r w:rsidR="00E5059E">
        <w:rPr>
          <w:rFonts w:asciiTheme="majorBidi" w:hAnsiTheme="majorBidi" w:cstheme="majorBidi"/>
          <w:sz w:val="24"/>
          <w:szCs w:val="24"/>
        </w:rPr>
        <w:t>some specialized journal in his field of expertize</w:t>
      </w:r>
      <w:r w:rsidRPr="008003A0">
        <w:rPr>
          <w:rFonts w:asciiTheme="majorBidi" w:hAnsiTheme="majorBidi" w:cstheme="majorBidi"/>
          <w:sz w:val="24"/>
          <w:szCs w:val="24"/>
        </w:rPr>
        <w:t xml:space="preserve">. </w:t>
      </w:r>
      <w:r w:rsidRPr="008003A0">
        <w:rPr>
          <w:rFonts w:asciiTheme="majorBidi" w:hAnsiTheme="majorBidi" w:cstheme="majorBidi"/>
          <w:sz w:val="24"/>
          <w:szCs w:val="24"/>
        </w:rPr>
        <w:tab/>
      </w:r>
    </w:p>
    <w:p w:rsidR="008003A0" w:rsidRPr="008003A0" w:rsidRDefault="008003A0" w:rsidP="00E5059E">
      <w:pPr>
        <w:spacing w:line="240" w:lineRule="auto"/>
        <w:jc w:val="both"/>
        <w:rPr>
          <w:rFonts w:asciiTheme="majorBidi" w:hAnsiTheme="majorBidi" w:cstheme="majorBidi"/>
          <w:sz w:val="24"/>
          <w:szCs w:val="24"/>
        </w:rPr>
      </w:pPr>
      <w:r w:rsidRPr="008003A0">
        <w:rPr>
          <w:rFonts w:asciiTheme="majorBidi" w:hAnsiTheme="majorBidi" w:cstheme="majorBidi"/>
          <w:sz w:val="24"/>
          <w:szCs w:val="24"/>
        </w:rPr>
        <w:lastRenderedPageBreak/>
        <w:t xml:space="preserve">Presenting author details </w:t>
      </w:r>
    </w:p>
    <w:p w:rsidR="008003A0" w:rsidRPr="008003A0" w:rsidRDefault="008003A0" w:rsidP="00E5059E">
      <w:pPr>
        <w:spacing w:line="240" w:lineRule="auto"/>
        <w:jc w:val="both"/>
        <w:rPr>
          <w:rFonts w:asciiTheme="majorBidi" w:hAnsiTheme="majorBidi" w:cstheme="majorBidi"/>
          <w:sz w:val="24"/>
          <w:szCs w:val="24"/>
        </w:rPr>
      </w:pPr>
      <w:r w:rsidRPr="008003A0">
        <w:rPr>
          <w:rFonts w:asciiTheme="majorBidi" w:hAnsiTheme="majorBidi" w:cstheme="majorBidi"/>
          <w:sz w:val="24"/>
          <w:szCs w:val="24"/>
        </w:rPr>
        <w:t xml:space="preserve">Full name: </w:t>
      </w:r>
      <w:proofErr w:type="spellStart"/>
      <w:r w:rsidR="005241F8">
        <w:rPr>
          <w:rFonts w:asciiTheme="majorBidi" w:hAnsiTheme="majorBidi" w:cstheme="majorBidi"/>
          <w:sz w:val="24"/>
          <w:szCs w:val="24"/>
        </w:rPr>
        <w:t>Rasoul</w:t>
      </w:r>
      <w:proofErr w:type="spellEnd"/>
      <w:r w:rsidR="005241F8">
        <w:rPr>
          <w:rFonts w:asciiTheme="majorBidi" w:hAnsiTheme="majorBidi" w:cstheme="majorBidi"/>
          <w:sz w:val="24"/>
          <w:szCs w:val="24"/>
        </w:rPr>
        <w:t xml:space="preserve"> </w:t>
      </w:r>
      <w:proofErr w:type="spellStart"/>
      <w:r w:rsidR="005241F8">
        <w:rPr>
          <w:rFonts w:asciiTheme="majorBidi" w:hAnsiTheme="majorBidi" w:cstheme="majorBidi"/>
          <w:sz w:val="24"/>
          <w:szCs w:val="24"/>
        </w:rPr>
        <w:t>Salehi</w:t>
      </w:r>
      <w:proofErr w:type="spellEnd"/>
    </w:p>
    <w:p w:rsidR="008003A0" w:rsidRPr="008003A0" w:rsidRDefault="008003A0" w:rsidP="00E5059E">
      <w:pPr>
        <w:spacing w:line="240" w:lineRule="auto"/>
        <w:jc w:val="both"/>
        <w:rPr>
          <w:rFonts w:asciiTheme="majorBidi" w:hAnsiTheme="majorBidi" w:cstheme="majorBidi"/>
          <w:sz w:val="24"/>
          <w:szCs w:val="24"/>
        </w:rPr>
      </w:pPr>
      <w:r w:rsidRPr="008003A0">
        <w:rPr>
          <w:rFonts w:asciiTheme="majorBidi" w:hAnsiTheme="majorBidi" w:cstheme="majorBidi"/>
          <w:sz w:val="24"/>
          <w:szCs w:val="24"/>
        </w:rPr>
        <w:t>Contact number:</w:t>
      </w:r>
      <w:r w:rsidR="005241F8">
        <w:rPr>
          <w:rFonts w:asciiTheme="majorBidi" w:hAnsiTheme="majorBidi" w:cstheme="majorBidi"/>
          <w:sz w:val="24"/>
          <w:szCs w:val="24"/>
        </w:rPr>
        <w:t xml:space="preserve"> 0098 313 7929087</w:t>
      </w:r>
    </w:p>
    <w:p w:rsidR="008003A0" w:rsidRPr="008003A0" w:rsidRDefault="008003A0" w:rsidP="00E5059E">
      <w:pPr>
        <w:spacing w:line="240" w:lineRule="auto"/>
        <w:jc w:val="both"/>
        <w:rPr>
          <w:rFonts w:asciiTheme="majorBidi" w:hAnsiTheme="majorBidi" w:cstheme="majorBidi"/>
          <w:sz w:val="24"/>
          <w:szCs w:val="24"/>
        </w:rPr>
      </w:pPr>
      <w:r w:rsidRPr="008003A0">
        <w:rPr>
          <w:rFonts w:asciiTheme="majorBidi" w:hAnsiTheme="majorBidi" w:cstheme="majorBidi"/>
          <w:sz w:val="24"/>
          <w:szCs w:val="24"/>
        </w:rPr>
        <w:t>Session name/ number:</w:t>
      </w:r>
      <w:r w:rsidR="005D79B3">
        <w:rPr>
          <w:rFonts w:asciiTheme="majorBidi" w:hAnsiTheme="majorBidi" w:cstheme="majorBidi"/>
          <w:sz w:val="24"/>
          <w:szCs w:val="24"/>
        </w:rPr>
        <w:t xml:space="preserve"> Genetics of the metabolic syndrome</w:t>
      </w:r>
    </w:p>
    <w:p w:rsidR="008003A0" w:rsidRPr="008003A0" w:rsidRDefault="005D79B3" w:rsidP="00E5059E">
      <w:pPr>
        <w:spacing w:line="240" w:lineRule="auto"/>
        <w:jc w:val="both"/>
        <w:rPr>
          <w:rFonts w:asciiTheme="majorBidi" w:hAnsiTheme="majorBidi" w:cstheme="majorBidi"/>
          <w:sz w:val="24"/>
          <w:szCs w:val="24"/>
        </w:rPr>
      </w:pPr>
      <w:r w:rsidRPr="005D79B3">
        <w:rPr>
          <w:rFonts w:asciiTheme="majorBidi" w:hAnsiTheme="majorBidi" w:cstheme="majorBidi"/>
          <w:sz w:val="24"/>
          <w:szCs w:val="24"/>
        </w:rPr>
        <w:t>Category: (Oral presentation/ Poster presentation)</w:t>
      </w:r>
    </w:p>
    <w:p w:rsidR="008003A0" w:rsidRPr="008003A0" w:rsidRDefault="008003A0" w:rsidP="00E5059E">
      <w:pPr>
        <w:spacing w:line="240" w:lineRule="auto"/>
        <w:jc w:val="both"/>
        <w:rPr>
          <w:rFonts w:asciiTheme="majorBidi" w:hAnsiTheme="majorBidi" w:cstheme="majorBidi"/>
          <w:sz w:val="24"/>
          <w:szCs w:val="24"/>
        </w:rPr>
      </w:pPr>
    </w:p>
    <w:p w:rsidR="005D65A0" w:rsidRPr="008003A0" w:rsidRDefault="005D65A0">
      <w:pPr>
        <w:rPr>
          <w:rFonts w:asciiTheme="majorBidi" w:hAnsiTheme="majorBidi" w:cstheme="majorBidi"/>
          <w:sz w:val="24"/>
          <w:szCs w:val="24"/>
        </w:rPr>
      </w:pPr>
    </w:p>
    <w:sectPr w:rsidR="005D65A0" w:rsidRPr="00800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5A0"/>
    <w:rsid w:val="000F253B"/>
    <w:rsid w:val="002A7E7C"/>
    <w:rsid w:val="005241F8"/>
    <w:rsid w:val="005D65A0"/>
    <w:rsid w:val="005D79B3"/>
    <w:rsid w:val="008003A0"/>
    <w:rsid w:val="00BC5706"/>
    <w:rsid w:val="00E505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7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7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7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7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aAhmad Salehi</dc:creator>
  <cp:keywords/>
  <dc:description/>
  <cp:lastModifiedBy>Ertebat Gostar e Persia</cp:lastModifiedBy>
  <cp:revision>3</cp:revision>
  <dcterms:created xsi:type="dcterms:W3CDTF">2017-04-30T10:38:00Z</dcterms:created>
  <dcterms:modified xsi:type="dcterms:W3CDTF">2017-05-02T07:22:00Z</dcterms:modified>
</cp:coreProperties>
</file>