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after="400"/>
        <w:ind w:right="1120"/>
        <w:rPr>
          <w:rFonts w:ascii="Times New Roman" w:cs="Times New Roman" w:hAnsi="Times New Roman" w:eastAsia="Times New Roman"/>
          <w:b w:val="1"/>
          <w:bCs w:val="1"/>
          <w:outline w:val="0"/>
          <w:color w:val="323232"/>
          <w:sz w:val="26"/>
          <w:szCs w:val="26"/>
          <w:u w:color="323232"/>
          <w:lang w:val="en-US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it-IT"/>
          <w14:textFill>
            <w14:solidFill>
              <w14:srgbClr w14:val="323232"/>
            </w14:solidFill>
          </w14:textFill>
        </w:rPr>
        <w:t>Laparoscopic</w:t>
      </w: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 xml:space="preserve"> S</w:t>
      </w: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it-IT"/>
          <w14:textFill>
            <w14:solidFill>
              <w14:srgbClr w14:val="323232"/>
            </w14:solidFill>
          </w14:textFill>
        </w:rPr>
        <w:t xml:space="preserve">leeve </w:t>
      </w: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>G</w:t>
      </w: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it-IT"/>
          <w14:textFill>
            <w14:solidFill>
              <w14:srgbClr w14:val="323232"/>
            </w14:solidFill>
          </w14:textFill>
        </w:rPr>
        <w:t>astrectomy</w:t>
      </w: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 xml:space="preserve"> Outcomes</w:t>
      </w:r>
    </w:p>
    <w:p>
      <w:pPr>
        <w:pStyle w:val="Default"/>
        <w:spacing w:after="400"/>
        <w:ind w:right="1120"/>
        <w:rPr>
          <w:rFonts w:ascii="Times New Roman" w:cs="Times New Roman" w:hAnsi="Times New Roman" w:eastAsia="Times New Roman"/>
          <w:b w:val="1"/>
          <w:bCs w:val="1"/>
          <w:outline w:val="0"/>
          <w:color w:val="323232"/>
          <w:sz w:val="26"/>
          <w:szCs w:val="26"/>
          <w:u w:color="323232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outline w:val="0"/>
          <w:color w:val="323232"/>
          <w:sz w:val="26"/>
          <w:szCs w:val="26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>Mohannad Eledreesi, Mohammed Alrayes, Ayman Eledreesi, Hussam Adi</w:t>
      </w:r>
    </w:p>
    <w:p>
      <w:pPr>
        <w:pStyle w:val="Default"/>
        <w:spacing w:after="400"/>
        <w:ind w:right="1120"/>
        <w:rPr>
          <w:rFonts w:ascii="Times New Roman" w:cs="Times New Roman" w:hAnsi="Times New Roman" w:eastAsia="Times New Roman"/>
          <w:b w:val="1"/>
          <w:bCs w:val="1"/>
          <w:outline w:val="0"/>
          <w:color w:val="323232"/>
          <w:sz w:val="26"/>
          <w:szCs w:val="26"/>
          <w:u w:color="323232"/>
          <w:lang w:val="en-US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>Abstract</w:t>
      </w:r>
    </w:p>
    <w:p>
      <w:pPr>
        <w:pStyle w:val="Default"/>
        <w:spacing w:after="400"/>
        <w:ind w:right="1120"/>
        <w:rPr>
          <w:rFonts w:ascii="Times New Roman" w:cs="Times New Roman" w:hAnsi="Times New Roman" w:eastAsia="Times New Roman"/>
          <w:b w:val="1"/>
          <w:bCs w:val="1"/>
          <w:outline w:val="0"/>
          <w:color w:val="323232"/>
          <w:sz w:val="26"/>
          <w:szCs w:val="26"/>
          <w:u w:color="323232"/>
          <w:lang w:val="en-US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 xml:space="preserve">Introduction </w:t>
      </w:r>
    </w:p>
    <w:p>
      <w:pPr>
        <w:pStyle w:val="Default"/>
        <w:spacing w:after="400"/>
        <w:ind w:right="1120"/>
        <w:rPr>
          <w:rFonts w:ascii="Times New Roman" w:cs="Times New Roman" w:hAnsi="Times New Roman" w:eastAsia="Times New Roman"/>
          <w:b w:val="1"/>
          <w:bCs w:val="1"/>
          <w:outline w:val="0"/>
          <w:color w:val="323232"/>
          <w:u w:color="323232"/>
          <w:shd w:val="clear" w:color="auto" w:fill="ffffff"/>
          <w:lang w:val="en-US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outline w:val="0"/>
          <w:color w:val="323232"/>
          <w:u w:color="323232"/>
          <w:shd w:val="clear" w:color="auto" w:fill="ffffff"/>
          <w:rtl w:val="0"/>
          <w:lang w:val="it-IT"/>
          <w14:textFill>
            <w14:solidFill>
              <w14:srgbClr w14:val="323232"/>
            </w14:solidFill>
          </w14:textFill>
        </w:rPr>
        <w:t xml:space="preserve">Laparoscopic sleeve gastrectomy (LSG) has gained popularity over the years as a standalone procedure. In 2014, it was the most rapidly growing bariatric procedure. The aim of this study was to describe the outcomes of LSG at a single bariatric unit in </w:t>
      </w:r>
      <w:r>
        <w:rPr>
          <w:rFonts w:ascii="Times New Roman" w:hAnsi="Times New Roman"/>
          <w:outline w:val="0"/>
          <w:color w:val="323232"/>
          <w:u w:color="323232"/>
          <w:shd w:val="clear" w:color="auto" w:fill="ffffff"/>
          <w:rtl w:val="0"/>
          <w:lang w:val="en-US"/>
          <w14:textFill>
            <w14:solidFill>
              <w14:srgbClr w14:val="323232"/>
            </w14:solidFill>
          </w14:textFill>
        </w:rPr>
        <w:t xml:space="preserve">King Salman North West Armed Forced Hospital (KSAFH) </w:t>
      </w:r>
      <w:r>
        <w:rPr>
          <w:rFonts w:ascii="Times New Roman" w:hAnsi="Times New Roman"/>
          <w:outline w:val="0"/>
          <w:color w:val="323232"/>
          <w:u w:color="323232"/>
          <w:shd w:val="clear" w:color="auto" w:fill="ffffff"/>
          <w:rtl w:val="0"/>
          <w:lang w:val="it-IT"/>
          <w14:textFill>
            <w14:solidFill>
              <w14:srgbClr w14:val="323232"/>
            </w14:solidFill>
          </w14:textFill>
        </w:rPr>
        <w:t>,</w:t>
      </w:r>
      <w:r>
        <w:rPr>
          <w:rFonts w:ascii="Times New Roman" w:hAnsi="Times New Roman"/>
          <w:outline w:val="0"/>
          <w:color w:val="323232"/>
          <w:u w:color="323232"/>
          <w:shd w:val="clear" w:color="auto" w:fill="ffffff"/>
          <w:rtl w:val="0"/>
          <w:lang w:val="en-US"/>
          <w14:textFill>
            <w14:solidFill>
              <w14:srgbClr w14:val="323232"/>
            </w14:solidFill>
          </w14:textFill>
        </w:rPr>
        <w:t xml:space="preserve"> Tabuk ,</w:t>
      </w:r>
      <w:r>
        <w:rPr>
          <w:rFonts w:ascii="Times New Roman" w:hAnsi="Times New Roman"/>
          <w:outline w:val="0"/>
          <w:color w:val="323232"/>
          <w:u w:color="323232"/>
          <w:shd w:val="clear" w:color="auto" w:fill="ffffff"/>
          <w:rtl w:val="0"/>
          <w:lang w:val="it-IT"/>
          <w14:textFill>
            <w14:solidFill>
              <w14:srgbClr w14:val="32323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323232"/>
          <w:u w:color="323232"/>
          <w:shd w:val="clear" w:color="auto" w:fill="ffffff"/>
          <w:rtl w:val="0"/>
          <w:lang w:val="en-US"/>
          <w14:textFill>
            <w14:solidFill>
              <w14:srgbClr w14:val="323232"/>
            </w14:solidFill>
          </w14:textFill>
        </w:rPr>
        <w:t>Saudi Arabia</w:t>
      </w:r>
      <w:r>
        <w:rPr>
          <w:rFonts w:ascii="Times New Roman" w:hAnsi="Times New Roman"/>
          <w:b w:val="1"/>
          <w:bCs w:val="1"/>
          <w:outline w:val="0"/>
          <w:color w:val="323232"/>
          <w:u w:color="323232"/>
          <w:shd w:val="clear" w:color="auto" w:fill="ffffff"/>
          <w:rtl w:val="0"/>
          <w:lang w:val="en-US"/>
          <w14:textFill>
            <w14:solidFill>
              <w14:srgbClr w14:val="323232"/>
            </w14:solidFill>
          </w14:textFill>
        </w:rPr>
        <w:t xml:space="preserve"> .</w:t>
      </w:r>
    </w:p>
    <w:p>
      <w:pPr>
        <w:pStyle w:val="Default"/>
        <w:jc w:val="both"/>
        <w:rPr>
          <w:rFonts w:ascii="Times New Roman" w:cs="Times New Roman" w:hAnsi="Times New Roman" w:eastAsia="Times New Roman"/>
          <w:outline w:val="0"/>
          <w:color w:val="323232"/>
          <w:sz w:val="26"/>
          <w:szCs w:val="26"/>
          <w:u w:color="323232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fr-FR"/>
          <w14:textFill>
            <w14:solidFill>
              <w14:srgbClr w14:val="323232"/>
            </w14:solidFill>
          </w14:textFill>
        </w:rPr>
        <w:t>Objective</w:t>
      </w:r>
      <w:r>
        <w:rPr>
          <w:rFonts w:ascii="Times New Roman" w:hAnsi="Times New Roman" w:hint="default"/>
          <w:outline w:val="0"/>
          <w:color w:val="323232"/>
          <w:sz w:val="26"/>
          <w:szCs w:val="26"/>
          <w:u w:color="323232"/>
          <w:rtl w:val="0"/>
          <w:lang w:val="it-IT"/>
          <w14:textFill>
            <w14:solidFill>
              <w14:srgbClr w14:val="323232"/>
            </w14:solidFill>
          </w14:textFill>
        </w:rPr>
        <w:t> </w:t>
      </w:r>
    </w:p>
    <w:p>
      <w:pPr>
        <w:pStyle w:val="Default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outline w:val="0"/>
          <w:color w:val="323232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>To compare outcomes of primary LSG regarding pre and post operative sleep apnea, diabetes mellitus (DM), arterial hypertension (HTN), bronchial asthma, female urinary incontinence , infertility and gastroesophageal reflux (GERD). We will assess our complications according to Clavein-Dindo classification.We reviewed</w:t>
      </w:r>
      <w:r>
        <w:rPr>
          <w:rFonts w:ascii="Times New Roman" w:hAnsi="Times New Roman"/>
          <w:b w:val="1"/>
          <w:bCs w:val="1"/>
          <w:outline w:val="0"/>
          <w:color w:val="323232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323232"/>
          <w:u w:color="323232"/>
          <w:rtl w:val="0"/>
          <w:lang w:val="pt-PT"/>
          <w14:textFill>
            <w14:solidFill>
              <w14:srgbClr w14:val="323232"/>
            </w14:solidFill>
          </w14:textFill>
        </w:rPr>
        <w:t>the medical records of patients who underwent LSG in King Salman</w:t>
      </w:r>
      <w:r>
        <w:rPr>
          <w:rFonts w:ascii="Times New Roman" w:hAnsi="Times New Roman"/>
          <w:outline w:val="0"/>
          <w:color w:val="323232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323232"/>
          <w:u w:color="323232"/>
          <w:rtl w:val="0"/>
          <w:lang w:val="pt-PT"/>
          <w14:textFill>
            <w14:solidFill>
              <w14:srgbClr w14:val="323232"/>
            </w14:solidFill>
          </w14:textFill>
        </w:rPr>
        <w:t xml:space="preserve">Armed Forces Hospital from </w:t>
      </w:r>
      <w:r>
        <w:rPr>
          <w:rFonts w:ascii="Times New Roman" w:hAnsi="Times New Roman"/>
          <w:rtl w:val="0"/>
          <w:lang w:val="it-IT"/>
        </w:rPr>
        <w:t>1/1/20</w:t>
      </w:r>
      <w:r>
        <w:rPr>
          <w:rFonts w:ascii="Times New Roman" w:hAnsi="Times New Roman"/>
          <w:rtl w:val="0"/>
          <w:lang w:val="en-US"/>
        </w:rPr>
        <w:t>15</w:t>
      </w:r>
      <w:r>
        <w:rPr>
          <w:rFonts w:ascii="Times New Roman" w:hAnsi="Times New Roman"/>
          <w:rtl w:val="0"/>
          <w:lang w:val="it-IT"/>
        </w:rPr>
        <w:t xml:space="preserve"> till 31/6/20</w:t>
      </w:r>
      <w:r>
        <w:rPr>
          <w:rFonts w:ascii="Times New Roman" w:hAnsi="Times New Roman"/>
          <w:rtl w:val="0"/>
          <w:lang w:val="en-US"/>
        </w:rPr>
        <w:t>1</w:t>
      </w:r>
      <w:r>
        <w:rPr>
          <w:rFonts w:ascii="Times New Roman" w:hAnsi="Times New Roman"/>
          <w:rtl w:val="0"/>
          <w:lang w:val="it-IT"/>
        </w:rPr>
        <w:t xml:space="preserve">7. 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Methods</w:t>
      </w:r>
    </w:p>
    <w:p>
      <w:pPr>
        <w:pStyle w:val="Body A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  <w:lang w:val="en-US"/>
        </w:rPr>
        <w:t>This retrospective comparative study is performed in the Department of Surgery, KSAFH.</w:t>
      </w:r>
    </w:p>
    <w:p>
      <w:pPr>
        <w:pStyle w:val="Body A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  <w:rtl w:val="0"/>
          <w:lang w:val="en-US"/>
        </w:rPr>
        <w:t>All patients are instructed for follow up at 1 week and 1,3,6,12,18, 24 months post operatively.</w:t>
      </w:r>
      <w:r>
        <w:rPr>
          <w:sz w:val="22"/>
          <w:szCs w:val="22"/>
          <w:rtl w:val="0"/>
          <w:lang w:val="en-US"/>
        </w:rPr>
        <w:t xml:space="preserve"> Laboratory tests are requested every 6 months post op. Improvement of Comorbidities assessed post operatively. Surgical Complications reported according to Clavein-Dindo classification. Our results compared with international studies. Inclusion criteria ( more than 14 years , morbid obese with BMI&gt;40 and obese class 11 with co morbidities).Exclusion criteria ( less than 14 years , BMI &lt; 35 and BMI &lt; 40 with no medical illness , revisional cases ) .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Results</w:t>
      </w:r>
    </w:p>
    <w:p>
      <w:pPr>
        <w:pStyle w:val="Default"/>
        <w:jc w:val="both"/>
        <w:rPr>
          <w:rFonts w:ascii="Calibri Light" w:cs="Calibri Light" w:hAnsi="Calibri Light" w:eastAsia="Calibri Light"/>
          <w:shd w:val="clear" w:color="auto" w:fill="ffffff"/>
        </w:rPr>
      </w:pPr>
      <w:r>
        <w:rPr>
          <w:rFonts w:ascii="Calibri Light" w:hAnsi="Calibri Light"/>
          <w:shd w:val="clear" w:color="auto" w:fill="ffffff"/>
          <w:rtl w:val="0"/>
          <w:lang w:val="en-US"/>
        </w:rPr>
        <w:t xml:space="preserve">A total of 127 patients underwent LSG at </w:t>
      </w:r>
      <w:r>
        <w:rPr>
          <w:rFonts w:ascii="Calibri Light" w:hAnsi="Calibri Light"/>
          <w:outline w:val="0"/>
          <w:color w:val="323232"/>
          <w:u w:color="323232"/>
          <w:shd w:val="clear" w:color="auto" w:fill="ffffff"/>
          <w:rtl w:val="0"/>
          <w:lang w:val="pt-PT"/>
          <w14:textFill>
            <w14:solidFill>
              <w14:srgbClr w14:val="323232"/>
            </w14:solidFill>
          </w14:textFill>
        </w:rPr>
        <w:t>King Salman</w:t>
      </w:r>
      <w:r>
        <w:rPr>
          <w:rFonts w:ascii="Calibri Light" w:hAnsi="Calibri Light"/>
          <w:outline w:val="0"/>
          <w:color w:val="323232"/>
          <w:u w:color="323232"/>
          <w:shd w:val="clear" w:color="auto" w:fill="ffffff"/>
          <w:rtl w:val="0"/>
          <w:lang w:val="en-US"/>
          <w14:textFill>
            <w14:solidFill>
              <w14:srgbClr w14:val="323232"/>
            </w14:solidFill>
          </w14:textFill>
        </w:rPr>
        <w:t xml:space="preserve"> </w:t>
      </w:r>
      <w:r>
        <w:rPr>
          <w:rFonts w:ascii="Calibri Light" w:hAnsi="Calibri Light"/>
          <w:outline w:val="0"/>
          <w:color w:val="323232"/>
          <w:u w:color="323232"/>
          <w:shd w:val="clear" w:color="auto" w:fill="ffffff"/>
          <w:rtl w:val="0"/>
          <w:lang w:val="pt-PT"/>
          <w14:textFill>
            <w14:solidFill>
              <w14:srgbClr w14:val="323232"/>
            </w14:solidFill>
          </w14:textFill>
        </w:rPr>
        <w:t xml:space="preserve">Armed Forces Hospital from </w:t>
      </w:r>
      <w:r>
        <w:rPr>
          <w:rFonts w:ascii="Calibri Light" w:hAnsi="Calibri Light"/>
          <w:shd w:val="clear" w:color="auto" w:fill="ffffff"/>
          <w:rtl w:val="0"/>
          <w:lang w:val="it-IT"/>
        </w:rPr>
        <w:t>1/1/201</w:t>
      </w:r>
      <w:r>
        <w:rPr>
          <w:rFonts w:ascii="Calibri Light" w:hAnsi="Calibri Light"/>
          <w:shd w:val="clear" w:color="auto" w:fill="ffffff"/>
          <w:rtl w:val="0"/>
          <w:lang w:val="en-US"/>
        </w:rPr>
        <w:t>5</w:t>
      </w:r>
      <w:r>
        <w:rPr>
          <w:rFonts w:ascii="Calibri Light" w:hAnsi="Calibri Light"/>
          <w:shd w:val="clear" w:color="auto" w:fill="ffffff"/>
          <w:rtl w:val="0"/>
          <w:lang w:val="it-IT"/>
        </w:rPr>
        <w:t>till 31/</w:t>
      </w:r>
      <w:r>
        <w:rPr>
          <w:rFonts w:ascii="Calibri Light" w:hAnsi="Calibri Light"/>
          <w:shd w:val="clear" w:color="auto" w:fill="ffffff"/>
          <w:rtl w:val="0"/>
          <w:lang w:val="en-US"/>
        </w:rPr>
        <w:t>5</w:t>
      </w:r>
      <w:r>
        <w:rPr>
          <w:rFonts w:ascii="Calibri Light" w:hAnsi="Calibri Light"/>
          <w:shd w:val="clear" w:color="auto" w:fill="ffffff"/>
          <w:rtl w:val="0"/>
          <w:lang w:val="it-IT"/>
        </w:rPr>
        <w:t>/201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7. Of these, 40 were male (31.5 %) and 87 were female (68.5%). The mean age was 35 years. Comorbidities included diabetes 31 (24.4%),sleep apnea 25 (19.6%), </w:t>
      </w:r>
      <w:r>
        <w:rPr>
          <w:rFonts w:ascii="Calibri Light" w:hAnsi="Calibri Light"/>
          <w:shd w:val="clear" w:color="auto" w:fill="ffffff"/>
          <w:rtl w:val="0"/>
          <w:lang w:val="nl-NL"/>
        </w:rPr>
        <w:t>hypertension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27 (21.3%), dyslipidemia 15 ( 11.8%)  </w:t>
      </w:r>
      <w:r>
        <w:rPr>
          <w:rFonts w:ascii="Times New Roman" w:hAnsi="Times New Roman"/>
          <w:rtl w:val="0"/>
          <w:lang w:val="en-US"/>
        </w:rPr>
        <w:t xml:space="preserve">Infertility 9 (7.01%),Osteoarthritis 6 (4.7%),GERD 4( 3.1%),Female Urinary Incontinence 3 (2.4%),Intracranial Hypertension 4(3.14%),Bronchial Asthma 5 (3.9%), Smoker 2 (1.6%),IHD 3 (2.4%) and ESRD 2 (1.6%) . 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Mean Body Mass Index (BMI) was 47 </w:t>
      </w:r>
      <w:bookmarkStart w:name="_Hlk524984103" w:id="0"/>
      <w:r>
        <w:rPr>
          <w:rFonts w:ascii="Calibri Light" w:hAnsi="Calibri Light"/>
          <w:shd w:val="clear" w:color="auto" w:fill="ffffff"/>
          <w:rtl w:val="0"/>
          <w:lang w:val="en-US"/>
        </w:rPr>
        <w:t>kg/m</w:t>
      </w:r>
      <w:r>
        <w:rPr>
          <w:rFonts w:ascii="Calibri Light" w:hAnsi="Calibri Light" w:hint="default"/>
          <w:shd w:val="clear" w:color="auto" w:fill="ffffff"/>
          <w:rtl w:val="0"/>
          <w:lang w:val="en-US"/>
        </w:rPr>
        <w:t>²</w:t>
      </w:r>
      <w:bookmarkEnd w:id="0"/>
      <w:r>
        <w:rPr>
          <w:rFonts w:ascii="Calibri Light" w:hAnsi="Calibri Light"/>
          <w:shd w:val="clear" w:color="auto" w:fill="ffffff"/>
          <w:rtl w:val="0"/>
          <w:lang w:val="en-US"/>
        </w:rPr>
        <w:t>. All patients underwent LSG</w:t>
      </w:r>
      <w:r>
        <w:rPr>
          <w:rFonts w:ascii="Calibri Light" w:hAnsi="Calibri Light"/>
          <w:shd w:val="clear" w:color="auto" w:fill="ffffff"/>
          <w:rtl w:val="0"/>
          <w:lang w:val="it-IT"/>
        </w:rPr>
        <w:t xml:space="preserve"> </w:t>
      </w:r>
      <w:r>
        <w:rPr>
          <w:rFonts w:ascii="Calibri Light" w:hAnsi="Calibri Light"/>
          <w:shd w:val="clear" w:color="auto" w:fill="ffffff"/>
          <w:rtl w:val="0"/>
          <w:lang w:val="en-US"/>
        </w:rPr>
        <w:t>n</w:t>
      </w:r>
      <w:r>
        <w:rPr>
          <w:rFonts w:ascii="Calibri Light" w:hAnsi="Calibri Light"/>
          <w:shd w:val="clear" w:color="auto" w:fill="ffffff"/>
          <w:rtl w:val="0"/>
          <w:lang w:val="it-IT"/>
        </w:rPr>
        <w:t>one had conversion. Mean o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perative time was 86 minute. Mean follow up 12 months. Mean hospital stay 3 days. Mean EWL 67% . Rate of complication by </w:t>
      </w:r>
      <w:r>
        <w:rPr>
          <w:rFonts w:ascii="Times New Roman" w:hAnsi="Times New Roman"/>
          <w:rtl w:val="0"/>
          <w:lang w:val="en-US"/>
        </w:rPr>
        <w:t>C</w:t>
      </w:r>
      <w:r>
        <w:rPr>
          <w:rFonts w:ascii="Times New Roman" w:hAnsi="Times New Roman"/>
          <w:rtl w:val="0"/>
          <w:lang w:val="it-IT"/>
        </w:rPr>
        <w:t>lavein</w:t>
      </w:r>
      <w:r>
        <w:rPr>
          <w:rFonts w:ascii="Times New Roman" w:hAnsi="Times New Roman" w:hint="default"/>
          <w:rtl w:val="0"/>
          <w:lang w:val="it-IT"/>
        </w:rPr>
        <w:t>–</w:t>
      </w:r>
      <w:r>
        <w:rPr>
          <w:rFonts w:ascii="Times New Roman" w:hAnsi="Times New Roman"/>
          <w:rtl w:val="0"/>
          <w:lang w:val="pt-PT"/>
        </w:rPr>
        <w:t>Dindo Classification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grade-0 (89.8%),grade-I (5.5%), grade-II (0.8%),grade-IIIA ( 2.4%), grade-IIIB (2.6%) and none for grade-IV and grade-V. Of Patient with diabetes 31 (31.5%) preoperative 2(6%) no change, 0(0%) worse, 10(32%) improve and 19 (61%) resolved postoperative . Patient with sleep apnea 25 (19.6%) preoperative 0(0%) no change, 0(0%) worse, 4(16%) improve and 21 (84%) resolved postoperative. Patient with </w:t>
      </w:r>
      <w:r>
        <w:rPr>
          <w:rFonts w:ascii="Calibri Light" w:hAnsi="Calibri Light"/>
          <w:shd w:val="clear" w:color="auto" w:fill="ffffff"/>
          <w:rtl w:val="0"/>
          <w:lang w:val="nl-NL"/>
        </w:rPr>
        <w:t>hypertension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27 (21.3%) preoperative 5(19%) no change, 0(0%) worse, 5(19%) improve and 17 (63%) resolved postoperative. Patient with </w:t>
      </w:r>
      <w:r>
        <w:rPr>
          <w:rFonts w:ascii="Times New Roman" w:hAnsi="Times New Roman"/>
          <w:rtl w:val="0"/>
          <w:lang w:val="en-US"/>
        </w:rPr>
        <w:t>Infertility 9 (7.01%)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preoperative 2(22%) no change, 0(0%) worse, 2(22.2%) improve and 5(55.5%) resolved postoperative. Patient with dyslipidemia 15 ( 11.8%) preoperative 1(7%) no change, 0(0%) worse, 4(27%) improve and 10(67%) resolved postoperative. Patient with o</w:t>
      </w:r>
      <w:r>
        <w:rPr>
          <w:rFonts w:ascii="Times New Roman" w:hAnsi="Times New Roman"/>
          <w:rtl w:val="0"/>
          <w:lang w:val="en-US"/>
        </w:rPr>
        <w:t>steoarthritis 6 (4.7%)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preoperative 2(33%) no change, 0(0%) worse, 0(0%) improve and 4(67%) resolved postoperative. Patient with </w:t>
      </w:r>
      <w:r>
        <w:rPr>
          <w:rFonts w:ascii="Times New Roman" w:hAnsi="Times New Roman"/>
          <w:rtl w:val="0"/>
          <w:lang w:val="en-US"/>
        </w:rPr>
        <w:t xml:space="preserve">GERD 4( 3.1%) </w:t>
      </w:r>
      <w:r>
        <w:rPr>
          <w:rFonts w:ascii="Calibri Light" w:hAnsi="Calibri Light"/>
          <w:shd w:val="clear" w:color="auto" w:fill="ffffff"/>
          <w:rtl w:val="0"/>
          <w:lang w:val="en-US"/>
        </w:rPr>
        <w:t>preoperative, 0(0%) no change, 1(25%) worse, 2(50%) improve and 1(25%) resolved postoperative.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Patient with </w:t>
      </w:r>
      <w:r>
        <w:rPr>
          <w:rFonts w:ascii="Times New Roman" w:hAnsi="Times New Roman"/>
          <w:rtl w:val="0"/>
          <w:lang w:val="en-US"/>
        </w:rPr>
        <w:t>Female Urinary Incontinence 3 (2.4%)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preoperative 0(0%) no change, 0(0%) worse, 1(33%) improve and 3(67%) resolved postoperative.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Patient with </w:t>
      </w:r>
      <w:r>
        <w:rPr>
          <w:rFonts w:ascii="Times New Roman" w:hAnsi="Times New Roman"/>
          <w:rtl w:val="0"/>
          <w:lang w:val="en-US"/>
        </w:rPr>
        <w:t>Intracranial Hypertension 4(3.14%)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preoperative, 1(25%) no change, 0(0%) worse, 2(50%) improve and 1(25%) resolved postoperative. Patient with </w:t>
      </w:r>
      <w:r>
        <w:rPr>
          <w:rFonts w:ascii="Times New Roman" w:hAnsi="Times New Roman"/>
          <w:rtl w:val="0"/>
          <w:lang w:val="en-US"/>
        </w:rPr>
        <w:t>Bronchial Asthma 5 (3.9%)</w:t>
      </w:r>
      <w:r>
        <w:rPr>
          <w:rFonts w:ascii="Calibri Light" w:hAnsi="Calibri Light"/>
          <w:shd w:val="clear" w:color="auto" w:fill="ffffff"/>
          <w:rtl w:val="0"/>
          <w:lang w:val="en-US"/>
        </w:rPr>
        <w:t xml:space="preserve"> preoperative, 0(00%) no change, 0(0%) worse, 2(40%) improve and 3(60%) resolved postoperative.</w:t>
      </w:r>
    </w:p>
    <w:p>
      <w:pPr>
        <w:pStyle w:val="Default"/>
        <w:jc w:val="both"/>
        <w:rPr>
          <w:rFonts w:ascii="Calibri Light" w:cs="Calibri Light" w:hAnsi="Calibri Light" w:eastAsia="Calibri Light"/>
          <w:sz w:val="24"/>
          <w:szCs w:val="24"/>
          <w:shd w:val="clear" w:color="auto" w:fill="ffffff"/>
          <w:lang w:val="en-US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323232"/>
          <w:sz w:val="26"/>
          <w:szCs w:val="26"/>
          <w:u w:color="323232"/>
          <w:lang w:val="fr-FR"/>
          <w14:textFill>
            <w14:solidFill>
              <w14:srgbClr w14:val="32323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23232"/>
          <w:sz w:val="26"/>
          <w:szCs w:val="26"/>
          <w:u w:color="323232"/>
          <w:rtl w:val="0"/>
          <w:lang w:val="fr-FR"/>
          <w14:textFill>
            <w14:solidFill>
              <w14:srgbClr w14:val="323232"/>
            </w14:solidFill>
          </w14:textFill>
        </w:rPr>
        <w:t>Conclusions</w:t>
      </w:r>
    </w:p>
    <w:p>
      <w:pPr>
        <w:pStyle w:val="Default"/>
        <w:jc w:val="both"/>
      </w:pPr>
      <w:r>
        <w:rPr>
          <w:rFonts w:ascii="Times New Roman" w:hAnsi="Times New Roman"/>
          <w:outline w:val="0"/>
          <w:color w:val="323232"/>
          <w:u w:color="323232"/>
          <w:rtl w:val="0"/>
          <w:lang w:val="en-US"/>
          <w14:textFill>
            <w14:solidFill>
              <w14:srgbClr w14:val="323232"/>
            </w14:solidFill>
          </w14:textFill>
        </w:rPr>
        <w:t>Morbid obesity more in females than males. LSG had long term wight reduction success , improve and resolution of c</w:t>
      </w:r>
      <w:r>
        <w:rPr>
          <w:rFonts w:ascii="Calibri Light" w:hAnsi="Calibri Light"/>
          <w:shd w:val="clear" w:color="auto" w:fill="ffffff"/>
          <w:rtl w:val="0"/>
          <w:lang w:val="nl-NL"/>
        </w:rPr>
        <w:t>omorbidities</w:t>
      </w:r>
      <w:r>
        <w:rPr>
          <w:rFonts w:ascii="Calibri Light" w:hAnsi="Calibri Light"/>
          <w:shd w:val="clear" w:color="auto" w:fill="ffffff"/>
          <w:rtl w:val="0"/>
          <w:lang w:val="en-US"/>
        </w:rPr>
        <w:t>.</w:t>
      </w: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